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9"/>
        <w:rPr>
          <w:rFonts w:hint="eastAsia" w:ascii="仿宋_GB2312" w:hAnsi="仿宋_GB2312" w:eastAsia="仿宋_GB2312" w:cs="仿宋_GB2312"/>
          <w:b/>
          <w:bCs/>
          <w:color w:val="000000"/>
          <w:sz w:val="36"/>
          <w:szCs w:val="36"/>
          <w:lang w:val="en-US" w:eastAsia="zh-CN"/>
        </w:rPr>
      </w:pPr>
      <w:r>
        <w:rPr>
          <w:rFonts w:hint="eastAsia" w:ascii="仿宋_GB2312" w:hAnsi="仿宋_GB2312" w:eastAsia="仿宋_GB2312" w:cs="仿宋_GB2312"/>
          <w:b/>
          <w:bCs/>
          <w:color w:val="000000"/>
          <w:sz w:val="44"/>
          <w:szCs w:val="44"/>
          <w:lang w:eastAsia="zh-CN"/>
        </w:rPr>
        <w:drawing>
          <wp:anchor distT="0" distB="0" distL="114300" distR="114300" simplePos="0" relativeHeight="251661312" behindDoc="1" locked="0" layoutInCell="1" allowOverlap="1">
            <wp:simplePos x="0" y="0"/>
            <wp:positionH relativeFrom="column">
              <wp:posOffset>12700</wp:posOffset>
            </wp:positionH>
            <wp:positionV relativeFrom="paragraph">
              <wp:posOffset>-535305</wp:posOffset>
            </wp:positionV>
            <wp:extent cx="7560310" cy="10715625"/>
            <wp:effectExtent l="0" t="0" r="2540" b="9525"/>
            <wp:wrapNone/>
            <wp:docPr id="2" name="图片 2" descr="1668413279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68413279296"/>
                    <pic:cNvPicPr>
                      <a:picLocks noChangeAspect="1"/>
                    </pic:cNvPicPr>
                  </pic:nvPicPr>
                  <pic:blipFill>
                    <a:blip r:embed="rId6"/>
                    <a:stretch>
                      <a:fillRect/>
                    </a:stretch>
                  </pic:blipFill>
                  <pic:spPr>
                    <a:xfrm>
                      <a:off x="0" y="0"/>
                      <a:ext cx="7560310" cy="10715625"/>
                    </a:xfrm>
                    <a:prstGeom prst="rect">
                      <a:avLst/>
                    </a:prstGeom>
                  </pic:spPr>
                </pic:pic>
              </a:graphicData>
            </a:graphic>
          </wp:anchor>
        </w:drawing>
      </w:r>
    </w:p>
    <w:p>
      <w:pPr>
        <w:jc w:val="center"/>
        <w:outlineLvl w:val="9"/>
        <w:rPr>
          <w:rFonts w:hint="eastAsia" w:ascii="仿宋_GB2312" w:hAnsi="仿宋_GB2312" w:eastAsia="仿宋_GB2312" w:cs="仿宋_GB2312"/>
          <w:b/>
          <w:bCs/>
          <w:color w:val="000000"/>
          <w:sz w:val="36"/>
          <w:szCs w:val="36"/>
          <w:lang w:val="en-US" w:eastAsia="zh-CN"/>
        </w:rPr>
      </w:pPr>
    </w:p>
    <w:p>
      <w:pPr>
        <w:jc w:val="center"/>
        <w:outlineLvl w:val="9"/>
        <w:rPr>
          <w:rFonts w:hint="eastAsia" w:ascii="仿宋_GB2312" w:hAnsi="仿宋_GB2312" w:eastAsia="仿宋_GB2312" w:cs="仿宋_GB2312"/>
          <w:b/>
          <w:bCs/>
          <w:color w:val="000000"/>
          <w:sz w:val="36"/>
          <w:szCs w:val="36"/>
          <w:lang w:val="en-US" w:eastAsia="zh-CN"/>
        </w:rPr>
      </w:pPr>
    </w:p>
    <w:p>
      <w:pPr>
        <w:pStyle w:val="29"/>
        <w:jc w:val="center"/>
        <w:rPr>
          <w:rFonts w:hint="eastAsia" w:ascii="仿宋_GB2312" w:hAnsi="仿宋_GB2312" w:eastAsia="仿宋_GB2312" w:cs="仿宋_GB2312"/>
          <w:b/>
          <w:bCs/>
          <w:color w:val="000000"/>
          <w:sz w:val="44"/>
          <w:szCs w:val="44"/>
          <w:lang w:eastAsia="zh-CN"/>
        </w:rPr>
      </w:pPr>
    </w:p>
    <w:p>
      <w:pPr>
        <w:pStyle w:val="29"/>
        <w:jc w:val="center"/>
        <w:rPr>
          <w:rFonts w:hint="eastAsia" w:ascii="仿宋_GB2312" w:hAnsi="仿宋_GB2312" w:eastAsia="仿宋_GB2312" w:cs="仿宋_GB2312"/>
          <w:b/>
          <w:bCs/>
          <w:color w:val="000000"/>
          <w:sz w:val="44"/>
          <w:szCs w:val="44"/>
          <w:lang w:eastAsia="zh-CN"/>
        </w:rPr>
      </w:pPr>
    </w:p>
    <w:p>
      <w:pPr>
        <w:pStyle w:val="29"/>
        <w:jc w:val="center"/>
        <w:rPr>
          <w:rFonts w:hint="eastAsia" w:ascii="仿宋_GB2312" w:hAnsi="仿宋_GB2312" w:eastAsia="仿宋_GB2312" w:cs="仿宋_GB2312"/>
          <w:b/>
          <w:bCs/>
          <w:color w:val="000000"/>
          <w:sz w:val="44"/>
          <w:szCs w:val="44"/>
          <w:lang w:eastAsia="zh-CN"/>
        </w:rPr>
      </w:pPr>
    </w:p>
    <w:p>
      <w:pPr>
        <w:pStyle w:val="29"/>
        <w:jc w:val="center"/>
        <w:rPr>
          <w:rFonts w:hint="eastAsia" w:ascii="仿宋_GB2312" w:hAnsi="仿宋_GB2312" w:eastAsia="仿宋_GB2312" w:cs="仿宋_GB2312"/>
          <w:b/>
          <w:bCs/>
          <w:color w:val="000000"/>
          <w:sz w:val="44"/>
          <w:szCs w:val="44"/>
          <w:lang w:eastAsia="zh-CN"/>
        </w:rPr>
      </w:pPr>
    </w:p>
    <w:p>
      <w:pPr>
        <w:pStyle w:val="29"/>
        <w:jc w:val="both"/>
        <w:rPr>
          <w:rFonts w:hint="eastAsia" w:ascii="仿宋_GB2312" w:hAnsi="仿宋_GB2312" w:eastAsia="仿宋_GB2312" w:cs="仿宋_GB2312"/>
          <w:b/>
          <w:bCs/>
          <w:color w:val="000000"/>
          <w:sz w:val="30"/>
          <w:szCs w:val="30"/>
          <w:u w:val="single"/>
          <w:lang w:val="en-US" w:eastAsia="zh-CN"/>
        </w:rPr>
      </w:pPr>
    </w:p>
    <w:p>
      <w:pPr>
        <w:pStyle w:val="29"/>
        <w:jc w:val="both"/>
        <w:rPr>
          <w:rFonts w:hint="eastAsia" w:ascii="仿宋_GB2312" w:hAnsi="仿宋_GB2312" w:eastAsia="仿宋_GB2312" w:cs="仿宋_GB2312"/>
          <w:b/>
          <w:bCs/>
          <w:color w:val="000000"/>
          <w:sz w:val="30"/>
          <w:szCs w:val="30"/>
          <w:u w:val="single"/>
          <w:lang w:val="en-US" w:eastAsia="zh-CN"/>
        </w:rPr>
      </w:pPr>
    </w:p>
    <w:p>
      <w:pPr>
        <w:pStyle w:val="29"/>
        <w:jc w:val="both"/>
        <w:rPr>
          <w:rFonts w:hint="eastAsia" w:ascii="仿宋_GB2312" w:hAnsi="仿宋_GB2312" w:eastAsia="仿宋_GB2312" w:cs="仿宋_GB2312"/>
          <w:b/>
          <w:bCs/>
          <w:color w:val="000000"/>
          <w:sz w:val="30"/>
          <w:szCs w:val="30"/>
          <w:u w:val="single"/>
          <w:lang w:val="en-US" w:eastAsia="zh-CN"/>
        </w:rPr>
      </w:pPr>
    </w:p>
    <w:p>
      <w:pPr>
        <w:pStyle w:val="29"/>
        <w:jc w:val="both"/>
        <w:rPr>
          <w:rFonts w:hint="eastAsia" w:ascii="仿宋_GB2312" w:hAnsi="仿宋_GB2312" w:eastAsia="仿宋_GB2312" w:cs="仿宋_GB2312"/>
          <w:b/>
          <w:bCs/>
          <w:color w:val="000000"/>
          <w:sz w:val="30"/>
          <w:szCs w:val="30"/>
          <w:u w:val="single"/>
          <w:lang w:val="en-US" w:eastAsia="zh-CN"/>
        </w:rPr>
      </w:pPr>
    </w:p>
    <w:p>
      <w:pPr>
        <w:pStyle w:val="29"/>
        <w:jc w:val="both"/>
        <w:rPr>
          <w:rFonts w:hint="eastAsia" w:ascii="仿宋_GB2312" w:hAnsi="仿宋_GB2312" w:eastAsia="仿宋_GB2312" w:cs="仿宋_GB2312"/>
          <w:b/>
          <w:bCs/>
          <w:color w:val="000000"/>
          <w:sz w:val="30"/>
          <w:szCs w:val="30"/>
          <w:u w:val="single"/>
          <w:lang w:val="en-US" w:eastAsia="zh-CN"/>
        </w:rPr>
      </w:pPr>
    </w:p>
    <w:p>
      <w:pPr>
        <w:pStyle w:val="29"/>
        <w:jc w:val="both"/>
        <w:rPr>
          <w:rFonts w:hint="eastAsia" w:ascii="仿宋_GB2312" w:hAnsi="仿宋_GB2312" w:eastAsia="仿宋_GB2312" w:cs="仿宋_GB2312"/>
          <w:b/>
          <w:bCs/>
          <w:color w:val="000000"/>
          <w:sz w:val="30"/>
          <w:szCs w:val="30"/>
          <w:u w:val="single"/>
          <w:lang w:val="en-US" w:eastAsia="zh-CN"/>
        </w:rPr>
      </w:pPr>
    </w:p>
    <w:p>
      <w:pPr>
        <w:pStyle w:val="29"/>
        <w:ind w:firstLine="1807" w:firstLineChars="600"/>
        <w:jc w:val="both"/>
        <w:rPr>
          <w:rFonts w:hint="eastAsia" w:ascii="仿宋_GB2312" w:hAnsi="仿宋_GB2312" w:eastAsia="仿宋_GB2312" w:cs="仿宋_GB2312"/>
          <w:b/>
          <w:bCs/>
          <w:color w:val="000000"/>
          <w:kern w:val="2"/>
          <w:sz w:val="30"/>
          <w:szCs w:val="30"/>
          <w:u w:val="single"/>
          <w:lang w:val="en-US" w:eastAsia="zh-CN" w:bidi="ar-SA"/>
        </w:rPr>
      </w:pPr>
      <w:r>
        <w:rPr>
          <w:rFonts w:hint="eastAsia" w:ascii="仿宋_GB2312" w:hAnsi="仿宋_GB2312" w:eastAsia="仿宋_GB2312" w:cs="仿宋_GB2312"/>
          <w:b/>
          <w:bCs/>
          <w:color w:val="000000"/>
          <w:kern w:val="2"/>
          <w:sz w:val="30"/>
          <w:szCs w:val="30"/>
          <w:u w:val="single"/>
          <w:lang w:val="en-US" w:eastAsia="zh-CN" w:bidi="ar-SA"/>
        </w:rPr>
        <w:t xml:space="preserve"> </w:t>
      </w:r>
    </w:p>
    <w:p>
      <w:pPr>
        <w:pStyle w:val="29"/>
        <w:jc w:val="center"/>
        <w:rPr>
          <w:rFonts w:hint="eastAsia" w:ascii="仿宋_GB2312" w:hAnsi="仿宋_GB2312" w:eastAsia="仿宋_GB2312" w:cs="仿宋_GB2312"/>
          <w:b/>
          <w:bCs/>
          <w:color w:val="000000"/>
          <w:sz w:val="44"/>
          <w:szCs w:val="44"/>
        </w:rPr>
      </w:pPr>
    </w:p>
    <w:p>
      <w:pPr>
        <w:pStyle w:val="29"/>
        <w:jc w:val="center"/>
        <w:rPr>
          <w:rFonts w:hint="eastAsia" w:ascii="仿宋_GB2312" w:hAnsi="仿宋_GB2312" w:eastAsia="仿宋_GB2312" w:cs="仿宋_GB2312"/>
          <w:b/>
          <w:bCs/>
          <w:color w:val="000000"/>
          <w:sz w:val="44"/>
          <w:szCs w:val="44"/>
        </w:rPr>
      </w:pPr>
    </w:p>
    <w:p>
      <w:pPr>
        <w:pStyle w:val="29"/>
        <w:jc w:val="center"/>
        <w:outlineLvl w:val="0"/>
        <w:rPr>
          <w:rFonts w:hint="eastAsia" w:ascii="仿宋_GB2312" w:hAnsi="仿宋_GB2312" w:eastAsia="仿宋_GB2312" w:cs="仿宋_GB2312"/>
          <w:b/>
          <w:bCs/>
          <w:color w:val="000000"/>
          <w:sz w:val="44"/>
          <w:szCs w:val="44"/>
          <w:lang w:val="en-US" w:eastAsia="zh-CN"/>
        </w:rPr>
      </w:pPr>
    </w:p>
    <w:p>
      <w:pPr>
        <w:jc w:val="center"/>
        <w:outlineLvl w:val="0"/>
        <w:rPr>
          <w:rFonts w:hint="eastAsia" w:ascii="仿宋_GB2312" w:hAnsi="仿宋_GB2312" w:eastAsia="仿宋_GB2312" w:cs="仿宋_GB2312"/>
          <w:b/>
          <w:bCs/>
          <w:color w:val="000000"/>
          <w:sz w:val="36"/>
          <w:szCs w:val="36"/>
          <w:lang w:val="en-US" w:eastAsia="zh-CN"/>
        </w:rPr>
        <w:sectPr>
          <w:headerReference r:id="rId3" w:type="default"/>
          <w:footerReference r:id="rId4" w:type="default"/>
          <w:pgSz w:w="11906" w:h="16838"/>
          <w:pgMar w:top="0" w:right="0" w:bottom="0" w:left="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pPr>
        <w:jc w:val="center"/>
        <w:outlineLvl w:val="0"/>
        <w:rPr>
          <w:rFonts w:hint="eastAsia" w:ascii="仿宋_GB2312" w:hAnsi="仿宋_GB2312" w:eastAsia="仿宋_GB2312" w:cs="仿宋_GB2312"/>
          <w:b/>
          <w:bCs/>
          <w:color w:val="000000"/>
          <w:sz w:val="36"/>
          <w:szCs w:val="36"/>
          <w:lang w:val="en-US" w:eastAsia="zh-CN"/>
        </w:rPr>
      </w:pPr>
      <w:r>
        <w:rPr>
          <w:rFonts w:hint="eastAsia" w:ascii="仿宋_GB2312" w:hAnsi="仿宋_GB2312" w:eastAsia="仿宋_GB2312" w:cs="仿宋_GB2312"/>
          <w:b/>
          <w:bCs/>
          <w:color w:val="000000"/>
          <w:sz w:val="36"/>
          <w:szCs w:val="36"/>
          <w:lang w:val="en-US" w:eastAsia="zh-CN"/>
        </w:rPr>
        <w:t>武安工业园区产城融合示范区基础</w:t>
      </w:r>
    </w:p>
    <w:p>
      <w:pPr>
        <w:jc w:val="center"/>
        <w:outlineLvl w:val="0"/>
        <w:rPr>
          <w:rFonts w:hint="eastAsia" w:ascii="仿宋_GB2312" w:hAnsi="仿宋_GB2312" w:eastAsia="仿宋_GB2312" w:cs="仿宋_GB2312"/>
          <w:b/>
          <w:bCs/>
          <w:color w:val="000000"/>
          <w:sz w:val="36"/>
          <w:szCs w:val="36"/>
          <w:lang w:val="en-US" w:eastAsia="zh-CN"/>
        </w:rPr>
      </w:pPr>
      <w:r>
        <w:rPr>
          <w:rFonts w:hint="eastAsia" w:ascii="仿宋_GB2312" w:hAnsi="仿宋_GB2312" w:eastAsia="仿宋_GB2312" w:cs="仿宋_GB2312"/>
          <w:b/>
          <w:bCs/>
          <w:color w:val="000000"/>
          <w:sz w:val="36"/>
          <w:szCs w:val="36"/>
          <w:lang w:val="en-US" w:eastAsia="zh-CN"/>
        </w:rPr>
        <w:t>设施建设项目(二期)</w:t>
      </w:r>
    </w:p>
    <w:p>
      <w:pPr>
        <w:jc w:val="center"/>
        <w:outlineLvl w:val="0"/>
        <w:rPr>
          <w:rFonts w:hint="eastAsia" w:ascii="仿宋_GB2312" w:hAnsi="仿宋_GB2312" w:eastAsia="仿宋_GB2312" w:cs="仿宋_GB2312"/>
          <w:color w:val="000000"/>
          <w:sz w:val="36"/>
          <w:szCs w:val="36"/>
        </w:rPr>
      </w:pPr>
      <w:r>
        <w:rPr>
          <w:rFonts w:hint="eastAsia" w:ascii="仿宋_GB2312" w:hAnsi="仿宋_GB2312" w:eastAsia="仿宋_GB2312" w:cs="仿宋_GB2312"/>
          <w:b/>
          <w:bCs/>
          <w:color w:val="000000"/>
          <w:sz w:val="36"/>
          <w:szCs w:val="36"/>
        </w:rPr>
        <w:t>实施方案</w:t>
      </w:r>
    </w:p>
    <w:p>
      <w:pPr>
        <w:spacing w:line="360" w:lineRule="auto"/>
        <w:ind w:firstLine="579" w:firstLineChars="206"/>
        <w:jc w:val="center"/>
        <w:rPr>
          <w:rFonts w:hint="eastAsia" w:ascii="仿宋_GB2312" w:hAnsi="仿宋_GB2312" w:eastAsia="仿宋_GB2312" w:cs="仿宋_GB2312"/>
          <w:b/>
          <w:sz w:val="28"/>
          <w:szCs w:val="32"/>
        </w:rPr>
      </w:pPr>
    </w:p>
    <w:p>
      <w:pPr>
        <w:pStyle w:val="16"/>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一、基本信息</w:t>
      </w:r>
    </w:p>
    <w:p>
      <w:pPr>
        <w:ind w:firstLine="562" w:firstLineChars="200"/>
        <w:outlineLvl w:val="0"/>
        <w:rPr>
          <w:rFonts w:hint="eastAsia"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（一）债券基本信息</w:t>
      </w:r>
    </w:p>
    <w:p>
      <w:pPr>
        <w:autoSpaceDE w:val="0"/>
        <w:spacing w:line="360" w:lineRule="auto"/>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本期债券基本信息</w:t>
      </w:r>
    </w:p>
    <w:tbl>
      <w:tblPr>
        <w:tblStyle w:val="22"/>
        <w:tblpPr w:leftFromText="180" w:rightFromText="180" w:vertAnchor="text" w:horzAnchor="page" w:tblpX="2072" w:tblpY="126"/>
        <w:tblOverlap w:val="never"/>
        <w:tblW w:w="78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6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740" w:type="dxa"/>
            <w:vAlign w:val="center"/>
          </w:tcPr>
          <w:p>
            <w:pP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项目名称</w:t>
            </w:r>
          </w:p>
        </w:tc>
        <w:tc>
          <w:tcPr>
            <w:tcW w:w="6119" w:type="dxa"/>
            <w:vAlign w:val="center"/>
          </w:tcPr>
          <w:p>
            <w:pP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eastAsia="zh-CN"/>
              </w:rPr>
              <w:t>武安工业园区产城融合示范区基础设施建设项目(二期)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740" w:type="dxa"/>
            <w:vAlign w:val="center"/>
          </w:tcPr>
          <w:p>
            <w:pP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发行规模</w:t>
            </w:r>
          </w:p>
        </w:tc>
        <w:tc>
          <w:tcPr>
            <w:tcW w:w="6119" w:type="dxa"/>
            <w:vAlign w:val="center"/>
          </w:tcPr>
          <w:p>
            <w:pP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贰亿</w:t>
            </w:r>
            <w:r>
              <w:rPr>
                <w:rFonts w:hint="eastAsia" w:ascii="仿宋_GB2312" w:hAnsi="仿宋_GB2312" w:eastAsia="仿宋_GB2312" w:cs="仿宋_GB2312"/>
                <w:color w:val="000000"/>
                <w:sz w:val="28"/>
                <w:szCs w:val="28"/>
              </w:rPr>
              <w:t>元整（RMB：</w:t>
            </w:r>
            <w:r>
              <w:rPr>
                <w:rFonts w:hint="eastAsia" w:ascii="仿宋_GB2312" w:hAnsi="仿宋_GB2312" w:eastAsia="仿宋_GB2312" w:cs="仿宋_GB2312"/>
                <w:color w:val="000000"/>
                <w:sz w:val="28"/>
                <w:szCs w:val="28"/>
                <w:lang w:val="en-US" w:eastAsia="zh-CN"/>
              </w:rPr>
              <w:t>20</w:t>
            </w:r>
            <w:r>
              <w:rPr>
                <w:rFonts w:hint="eastAsia" w:ascii="仿宋_GB2312" w:hAnsi="仿宋_GB2312" w:eastAsia="仿宋_GB2312" w:cs="仿宋_GB2312"/>
                <w:color w:val="000000"/>
                <w:sz w:val="28"/>
                <w:szCs w:val="28"/>
              </w:rPr>
              <w:t>0,000,000，00元）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740" w:type="dxa"/>
            <w:vAlign w:val="center"/>
          </w:tcPr>
          <w:p>
            <w:pP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募集资金用途</w:t>
            </w:r>
          </w:p>
        </w:tc>
        <w:tc>
          <w:tcPr>
            <w:tcW w:w="6119" w:type="dxa"/>
            <w:vAlign w:val="center"/>
          </w:tcPr>
          <w:p>
            <w:pP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拟用于</w:t>
            </w:r>
            <w:r>
              <w:rPr>
                <w:rFonts w:hint="eastAsia" w:ascii="仿宋_GB2312" w:hAnsi="仿宋_GB2312" w:eastAsia="仿宋_GB2312" w:cs="仿宋_GB2312"/>
                <w:color w:val="000000"/>
                <w:sz w:val="28"/>
                <w:szCs w:val="28"/>
                <w:lang w:eastAsia="zh-CN"/>
              </w:rPr>
              <w:t>武安工业园区产城融合示范区基础设施建设项目(二期)</w:t>
            </w:r>
            <w:r>
              <w:rPr>
                <w:rFonts w:hint="eastAsia" w:ascii="仿宋_GB2312" w:hAnsi="仿宋_GB2312" w:eastAsia="仿宋_GB2312" w:cs="仿宋_GB2312"/>
                <w:color w:val="00000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740" w:type="dxa"/>
            <w:vAlign w:val="center"/>
          </w:tcPr>
          <w:p>
            <w:pP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债券期限</w:t>
            </w:r>
          </w:p>
        </w:tc>
        <w:tc>
          <w:tcPr>
            <w:tcW w:w="6119" w:type="dxa"/>
            <w:vAlign w:val="center"/>
          </w:tcPr>
          <w:p>
            <w:pP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10</w:t>
            </w:r>
            <w:r>
              <w:rPr>
                <w:rFonts w:hint="eastAsia" w:ascii="仿宋_GB2312" w:hAnsi="仿宋_GB2312" w:eastAsia="仿宋_GB2312" w:cs="仿宋_GB2312"/>
                <w:color w:val="000000"/>
                <w:sz w:val="28"/>
                <w:szCs w:val="28"/>
              </w:rPr>
              <w:t>年期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740" w:type="dxa"/>
            <w:vAlign w:val="center"/>
          </w:tcPr>
          <w:p>
            <w:pP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债券利率</w:t>
            </w:r>
          </w:p>
        </w:tc>
        <w:tc>
          <w:tcPr>
            <w:tcW w:w="6119" w:type="dxa"/>
            <w:vAlign w:val="center"/>
          </w:tcPr>
          <w:p>
            <w:pPr>
              <w:textAlignment w:val="center"/>
              <w:rPr>
                <w:rFonts w:hint="default"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8" w:hRule="atLeast"/>
        </w:trPr>
        <w:tc>
          <w:tcPr>
            <w:tcW w:w="1740" w:type="dxa"/>
            <w:vAlign w:val="center"/>
          </w:tcPr>
          <w:p>
            <w:pP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还本付息方式</w:t>
            </w:r>
          </w:p>
        </w:tc>
        <w:tc>
          <w:tcPr>
            <w:tcW w:w="6119" w:type="dxa"/>
            <w:vAlign w:val="center"/>
          </w:tcPr>
          <w:p>
            <w:pPr>
              <w:textAlignment w:val="center"/>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rPr>
              <w:t>利息按每半年付息，</w:t>
            </w:r>
            <w:r>
              <w:rPr>
                <w:rFonts w:hint="eastAsia" w:ascii="仿宋_GB2312" w:hAnsi="仿宋_GB2312" w:eastAsia="仿宋_GB2312" w:cs="仿宋_GB2312"/>
                <w:color w:val="000000"/>
                <w:sz w:val="28"/>
                <w:szCs w:val="28"/>
                <w:lang w:val="en-US" w:eastAsia="zh-CN"/>
              </w:rPr>
              <w:t>本金分年偿还，</w:t>
            </w:r>
            <w:r>
              <w:rPr>
                <w:rFonts w:hint="eastAsia" w:ascii="仿宋_GB2312" w:hAnsi="仿宋_GB2312" w:eastAsia="仿宋_GB2312" w:cs="仿宋_GB2312"/>
                <w:color w:val="000000"/>
                <w:sz w:val="28"/>
                <w:szCs w:val="28"/>
              </w:rPr>
              <w:t>存续期的</w:t>
            </w:r>
            <w:r>
              <w:rPr>
                <w:rFonts w:hint="eastAsia" w:ascii="仿宋_GB2312" w:hAnsi="仿宋_GB2312" w:eastAsia="仿宋_GB2312" w:cs="仿宋_GB2312"/>
                <w:color w:val="000000"/>
                <w:sz w:val="28"/>
                <w:szCs w:val="28"/>
                <w:lang w:val="en-US" w:eastAsia="zh-CN"/>
              </w:rPr>
              <w:t>后10年的第6-10年的</w:t>
            </w:r>
            <w:r>
              <w:rPr>
                <w:rFonts w:hint="eastAsia" w:ascii="仿宋_GB2312" w:hAnsi="仿宋_GB2312" w:eastAsia="仿宋_GB2312" w:cs="仿宋_GB2312"/>
                <w:color w:val="000000"/>
                <w:sz w:val="28"/>
                <w:szCs w:val="28"/>
              </w:rPr>
              <w:t>每年的还本日偿还债券本金</w:t>
            </w:r>
            <w:r>
              <w:rPr>
                <w:rFonts w:hint="eastAsia" w:ascii="仿宋_GB2312" w:hAnsi="仿宋_GB2312" w:eastAsia="仿宋_GB2312" w:cs="仿宋_GB2312"/>
                <w:color w:val="000000"/>
                <w:sz w:val="28"/>
                <w:szCs w:val="28"/>
                <w:lang w:val="en-US" w:eastAsia="zh-CN"/>
              </w:rPr>
              <w:t>4000万元</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rPr>
              <w:t>已</w:t>
            </w:r>
            <w:r>
              <w:rPr>
                <w:rFonts w:hint="eastAsia" w:ascii="仿宋_GB2312" w:hAnsi="仿宋_GB2312" w:eastAsia="仿宋_GB2312" w:cs="仿宋_GB2312"/>
                <w:color w:val="000000"/>
                <w:sz w:val="28"/>
                <w:szCs w:val="28"/>
                <w:lang w:val="en-US" w:eastAsia="zh-CN"/>
              </w:rPr>
              <w:t>兑付</w:t>
            </w:r>
            <w:r>
              <w:rPr>
                <w:rFonts w:hint="eastAsia" w:ascii="仿宋_GB2312" w:hAnsi="仿宋_GB2312" w:eastAsia="仿宋_GB2312" w:cs="仿宋_GB2312"/>
                <w:color w:val="000000"/>
                <w:sz w:val="28"/>
                <w:szCs w:val="28"/>
              </w:rPr>
              <w:t>本</w:t>
            </w:r>
            <w:r>
              <w:rPr>
                <w:rFonts w:hint="eastAsia" w:ascii="仿宋_GB2312" w:hAnsi="仿宋_GB2312" w:eastAsia="仿宋_GB2312" w:cs="仿宋_GB2312"/>
                <w:color w:val="000000"/>
                <w:sz w:val="28"/>
                <w:szCs w:val="28"/>
                <w:lang w:val="en-US" w:eastAsia="zh-CN"/>
              </w:rPr>
              <w:t>金自兑付之日起</w:t>
            </w:r>
            <w:r>
              <w:rPr>
                <w:rFonts w:hint="eastAsia" w:ascii="仿宋_GB2312" w:hAnsi="仿宋_GB2312" w:eastAsia="仿宋_GB2312" w:cs="仿宋_GB2312"/>
                <w:color w:val="000000"/>
                <w:sz w:val="28"/>
                <w:szCs w:val="28"/>
              </w:rPr>
              <w:t>不</w:t>
            </w:r>
            <w:r>
              <w:rPr>
                <w:rFonts w:hint="eastAsia" w:ascii="仿宋_GB2312" w:hAnsi="仿宋_GB2312" w:eastAsia="仿宋_GB2312" w:cs="仿宋_GB2312"/>
                <w:color w:val="000000"/>
                <w:sz w:val="28"/>
                <w:szCs w:val="28"/>
                <w:lang w:eastAsia="zh-CN"/>
              </w:rPr>
              <w:t>再</w:t>
            </w:r>
            <w:r>
              <w:rPr>
                <w:rFonts w:hint="eastAsia" w:ascii="仿宋_GB2312" w:hAnsi="仿宋_GB2312" w:eastAsia="仿宋_GB2312" w:cs="仿宋_GB2312"/>
                <w:color w:val="000000"/>
                <w:sz w:val="28"/>
                <w:szCs w:val="28"/>
              </w:rPr>
              <w:t>计息</w:t>
            </w:r>
            <w:r>
              <w:rPr>
                <w:rFonts w:hint="eastAsia" w:ascii="仿宋_GB2312" w:hAnsi="仿宋_GB2312" w:eastAsia="仿宋_GB2312" w:cs="仿宋_GB2312"/>
                <w:color w:val="000000"/>
                <w:sz w:val="28"/>
                <w:szCs w:val="28"/>
                <w:lang w:eastAsia="zh-CN"/>
              </w:rPr>
              <w:t>。</w:t>
            </w:r>
          </w:p>
        </w:tc>
      </w:tr>
    </w:tbl>
    <w:p>
      <w:pPr>
        <w:ind w:firstLine="562" w:firstLineChars="200"/>
        <w:rPr>
          <w:rFonts w:hint="eastAsia" w:ascii="仿宋_GB2312" w:hAnsi="仿宋_GB2312" w:eastAsia="仿宋_GB2312" w:cs="仿宋_GB2312"/>
          <w:b/>
          <w:bCs/>
          <w:sz w:val="28"/>
          <w:szCs w:val="28"/>
        </w:rPr>
      </w:pPr>
    </w:p>
    <w:p>
      <w:pPr>
        <w:numPr>
          <w:ilvl w:val="0"/>
          <w:numId w:val="0"/>
        </w:numPr>
        <w:rPr>
          <w:rFonts w:hint="eastAsia" w:ascii="仿宋_GB2312" w:hAnsi="仿宋_GB2312" w:eastAsia="仿宋_GB2312" w:cs="仿宋_GB2312"/>
          <w:sz w:val="28"/>
          <w:szCs w:val="28"/>
          <w:highlight w:val="none"/>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pPr>
        <w:ind w:firstLine="562" w:firstLineChars="200"/>
        <w:outlineLvl w:val="0"/>
        <w:rPr>
          <w:rFonts w:hint="eastAsia" w:ascii="仿宋_GB2312" w:hAnsi="仿宋_GB2312" w:eastAsia="仿宋_GB2312" w:cs="仿宋_GB2312"/>
          <w:highlight w:val="none"/>
          <w:lang w:val="en-US" w:eastAsia="zh-CN"/>
        </w:rPr>
      </w:pPr>
      <w:r>
        <w:rPr>
          <w:rFonts w:hint="eastAsia" w:ascii="仿宋_GB2312" w:hAnsi="仿宋_GB2312" w:eastAsia="仿宋_GB2312" w:cs="仿宋_GB2312"/>
          <w:b/>
          <w:bCs/>
          <w:sz w:val="28"/>
          <w:szCs w:val="28"/>
          <w:highlight w:val="none"/>
          <w:lang w:val="en-US" w:eastAsia="zh-CN"/>
        </w:rPr>
        <w:t>(二）项目详细信息</w:t>
      </w:r>
    </w:p>
    <w:tbl>
      <w:tblPr>
        <w:tblStyle w:val="21"/>
        <w:tblW w:w="1408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78"/>
        <w:gridCol w:w="930"/>
        <w:gridCol w:w="1729"/>
        <w:gridCol w:w="1274"/>
        <w:gridCol w:w="1149"/>
        <w:gridCol w:w="1027"/>
        <w:gridCol w:w="1027"/>
        <w:gridCol w:w="1027"/>
        <w:gridCol w:w="1027"/>
        <w:gridCol w:w="1027"/>
        <w:gridCol w:w="1027"/>
        <w:gridCol w:w="874"/>
        <w:gridCol w:w="8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373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项目名称</w:t>
            </w:r>
          </w:p>
        </w:tc>
        <w:tc>
          <w:tcPr>
            <w:tcW w:w="10344"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武安工业园区产城融合示范区基础设施建设项目(二期)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3737"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项目类型（一级）</w:t>
            </w:r>
          </w:p>
        </w:tc>
        <w:tc>
          <w:tcPr>
            <w:tcW w:w="10344" w:type="dxa"/>
            <w:gridSpan w:val="10"/>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市政和产业园区基础设施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3737"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项目类型（二级）</w:t>
            </w:r>
          </w:p>
        </w:tc>
        <w:tc>
          <w:tcPr>
            <w:tcW w:w="10344" w:type="dxa"/>
            <w:gridSpan w:val="10"/>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_GB2312" w:hAnsi="仿宋_GB2312"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3737"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本只专项债券中用于该项目的金额(单位：亿元)</w:t>
            </w:r>
          </w:p>
        </w:tc>
        <w:tc>
          <w:tcPr>
            <w:tcW w:w="10344" w:type="dxa"/>
            <w:gridSpan w:val="10"/>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3737"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其中：用于符合条件的重大项目资本金的金额(单位：亿元)</w:t>
            </w:r>
          </w:p>
        </w:tc>
        <w:tc>
          <w:tcPr>
            <w:tcW w:w="10344" w:type="dxa"/>
            <w:gridSpan w:val="10"/>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_GB2312" w:hAnsi="仿宋_GB2312"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373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项目简要描述</w:t>
            </w:r>
          </w:p>
        </w:tc>
        <w:tc>
          <w:tcPr>
            <w:tcW w:w="10344"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该项目为产城融合示范区与主城区连接主干道，起点为武安市东环路，终点为曹公大街，道路全长1626.15m,道路控制红线宽度55m，主要建设内容包含道路及给排水、供热、燃气、电力及附属工程等。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373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项目建设期</w:t>
            </w:r>
          </w:p>
        </w:tc>
        <w:tc>
          <w:tcPr>
            <w:tcW w:w="10344"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single"/>
              </w:rPr>
            </w:pPr>
            <w:r>
              <w:rPr>
                <w:rFonts w:hint="eastAsia" w:ascii="仿宋_GB2312" w:hAnsi="仿宋_GB2312" w:eastAsia="仿宋_GB2312" w:cs="仿宋_GB2312"/>
                <w:i w:val="0"/>
                <w:iCs w:val="0"/>
                <w:color w:val="000000"/>
                <w:kern w:val="0"/>
                <w:sz w:val="21"/>
                <w:szCs w:val="21"/>
                <w:u w:val="single"/>
                <w:lang w:val="en-US" w:eastAsia="zh-CN" w:bidi="ar"/>
              </w:rPr>
              <w:t>2022年至 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373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项目运营期</w:t>
            </w:r>
          </w:p>
        </w:tc>
        <w:tc>
          <w:tcPr>
            <w:tcW w:w="10344"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single"/>
              </w:rPr>
            </w:pPr>
            <w:r>
              <w:rPr>
                <w:rFonts w:hint="eastAsia" w:ascii="仿宋_GB2312" w:hAnsi="仿宋_GB2312" w:eastAsia="仿宋_GB2312" w:cs="仿宋_GB2312"/>
                <w:i w:val="0"/>
                <w:iCs w:val="0"/>
                <w:color w:val="000000"/>
                <w:kern w:val="0"/>
                <w:sz w:val="21"/>
                <w:szCs w:val="21"/>
                <w:u w:val="single"/>
                <w:lang w:val="en-US" w:eastAsia="zh-CN" w:bidi="ar"/>
              </w:rPr>
              <w:t xml:space="preserve"> 2024年至 2033年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373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本项目拟发行债券期限（单位：年）</w:t>
            </w:r>
          </w:p>
        </w:tc>
        <w:tc>
          <w:tcPr>
            <w:tcW w:w="10344"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373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债券存续期内项目总投资(单位：亿元)</w:t>
            </w:r>
          </w:p>
        </w:tc>
        <w:tc>
          <w:tcPr>
            <w:tcW w:w="10344"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3.785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373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其中：不含专项债券的项目资本金</w:t>
            </w:r>
          </w:p>
        </w:tc>
        <w:tc>
          <w:tcPr>
            <w:tcW w:w="10344"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1.785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373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专项债券融资</w:t>
            </w:r>
          </w:p>
        </w:tc>
        <w:tc>
          <w:tcPr>
            <w:tcW w:w="10344"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373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其他债务融资</w:t>
            </w:r>
          </w:p>
        </w:tc>
        <w:tc>
          <w:tcPr>
            <w:tcW w:w="10344"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14081" w:type="dxa"/>
            <w:gridSpan w:val="1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项目分年融资计划（单位：亿元）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3737" w:type="dxa"/>
            <w:gridSpan w:val="3"/>
            <w:tcBorders>
              <w:top w:val="single" w:color="000000" w:sz="4" w:space="0"/>
              <w:left w:val="single" w:color="000000" w:sz="4" w:space="0"/>
              <w:bottom w:val="single" w:color="000000" w:sz="4" w:space="0"/>
              <w:right w:val="single" w:color="000000" w:sz="4" w:space="0"/>
              <w:tl2br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2019年及以前年度</w:t>
            </w:r>
          </w:p>
        </w:tc>
        <w:tc>
          <w:tcPr>
            <w:tcW w:w="1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2020年</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2021年</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2022年</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2023年</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2024年</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2025年</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2026年</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2027年及以后年度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373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专项债券融资</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000000"/>
                <w:sz w:val="21"/>
                <w:szCs w:val="21"/>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000000"/>
                <w:sz w:val="21"/>
                <w:szCs w:val="21"/>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000000"/>
                <w:sz w:val="21"/>
                <w:szCs w:val="21"/>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000000"/>
                <w:sz w:val="21"/>
                <w:szCs w:val="21"/>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000000"/>
                <w:sz w:val="21"/>
                <w:szCs w:val="21"/>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000000"/>
                <w:sz w:val="21"/>
                <w:szCs w:val="21"/>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000000"/>
                <w:sz w:val="21"/>
                <w:szCs w:val="21"/>
                <w:u w:val="none"/>
              </w:rPr>
            </w:pP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373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其他债务融资</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000000"/>
                <w:sz w:val="21"/>
                <w:szCs w:val="21"/>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000000"/>
                <w:sz w:val="21"/>
                <w:szCs w:val="21"/>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000000"/>
                <w:sz w:val="21"/>
                <w:szCs w:val="21"/>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000000"/>
                <w:sz w:val="21"/>
                <w:szCs w:val="21"/>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000000"/>
                <w:sz w:val="21"/>
                <w:szCs w:val="21"/>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000000"/>
                <w:sz w:val="21"/>
                <w:szCs w:val="21"/>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000000"/>
                <w:sz w:val="21"/>
                <w:szCs w:val="21"/>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000000"/>
                <w:sz w:val="21"/>
                <w:szCs w:val="21"/>
                <w:u w:val="none"/>
              </w:rPr>
            </w:pP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1078" w:type="dxa"/>
            <w:tcBorders>
              <w:top w:val="single" w:color="000000" w:sz="4" w:space="0"/>
              <w:left w:val="single" w:color="000000" w:sz="4" w:space="0"/>
              <w:bottom w:val="nil"/>
              <w:right w:val="nil"/>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930" w:type="dxa"/>
            <w:tcBorders>
              <w:top w:val="single" w:color="000000" w:sz="4" w:space="0"/>
              <w:left w:val="nil"/>
              <w:bottom w:val="nil"/>
              <w:right w:val="nil"/>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1729" w:type="dxa"/>
            <w:tcBorders>
              <w:top w:val="nil"/>
              <w:left w:val="nil"/>
              <w:bottom w:val="nil"/>
              <w:right w:val="nil"/>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1274" w:type="dxa"/>
            <w:tcBorders>
              <w:top w:val="single" w:color="000000" w:sz="4" w:space="0"/>
              <w:left w:val="nil"/>
              <w:bottom w:val="single" w:color="000000" w:sz="4" w:space="0"/>
              <w:right w:val="nil"/>
            </w:tcBorders>
            <w:shd w:val="clear" w:color="auto" w:fill="auto"/>
            <w:noWrap/>
            <w:vAlign w:val="center"/>
          </w:tcPr>
          <w:p>
            <w:pPr>
              <w:rPr>
                <w:rFonts w:hint="eastAsia" w:ascii="仿宋_GB2312" w:hAnsi="仿宋_GB2312" w:eastAsia="仿宋_GB2312" w:cs="仿宋_GB2312"/>
                <w:i w:val="0"/>
                <w:iCs w:val="0"/>
                <w:color w:val="000000"/>
                <w:sz w:val="21"/>
                <w:szCs w:val="21"/>
                <w:u w:val="none"/>
              </w:rPr>
            </w:pPr>
          </w:p>
        </w:tc>
        <w:tc>
          <w:tcPr>
            <w:tcW w:w="1149" w:type="dxa"/>
            <w:tcBorders>
              <w:top w:val="single" w:color="000000" w:sz="4" w:space="0"/>
              <w:left w:val="nil"/>
              <w:bottom w:val="single" w:color="000000" w:sz="4" w:space="0"/>
              <w:right w:val="nil"/>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1027" w:type="dxa"/>
            <w:tcBorders>
              <w:top w:val="single" w:color="000000" w:sz="4" w:space="0"/>
              <w:left w:val="nil"/>
              <w:bottom w:val="single" w:color="000000" w:sz="4" w:space="0"/>
              <w:right w:val="nil"/>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1027" w:type="dxa"/>
            <w:tcBorders>
              <w:top w:val="single" w:color="000000" w:sz="4" w:space="0"/>
              <w:left w:val="nil"/>
              <w:bottom w:val="single" w:color="000000" w:sz="4" w:space="0"/>
              <w:right w:val="nil"/>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1027" w:type="dxa"/>
            <w:tcBorders>
              <w:top w:val="single" w:color="000000" w:sz="4" w:space="0"/>
              <w:left w:val="nil"/>
              <w:bottom w:val="single" w:color="000000" w:sz="4" w:space="0"/>
              <w:right w:val="nil"/>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1027" w:type="dxa"/>
            <w:tcBorders>
              <w:top w:val="single" w:color="000000" w:sz="4" w:space="0"/>
              <w:left w:val="nil"/>
              <w:bottom w:val="single" w:color="000000" w:sz="4" w:space="0"/>
              <w:right w:val="nil"/>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1027" w:type="dxa"/>
            <w:tcBorders>
              <w:top w:val="single" w:color="000000" w:sz="4" w:space="0"/>
              <w:left w:val="nil"/>
              <w:bottom w:val="single" w:color="000000" w:sz="4" w:space="0"/>
              <w:right w:val="nil"/>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1027" w:type="dxa"/>
            <w:tcBorders>
              <w:top w:val="single" w:color="000000" w:sz="4" w:space="0"/>
              <w:left w:val="nil"/>
              <w:bottom w:val="single" w:color="000000" w:sz="4" w:space="0"/>
              <w:right w:val="nil"/>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874" w:type="dxa"/>
            <w:tcBorders>
              <w:top w:val="single" w:color="000000" w:sz="4" w:space="0"/>
              <w:left w:val="nil"/>
              <w:bottom w:val="single" w:color="000000" w:sz="4" w:space="0"/>
              <w:right w:val="nil"/>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88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373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债券存续期内项目总收益</w:t>
            </w:r>
          </w:p>
        </w:tc>
        <w:tc>
          <w:tcPr>
            <w:tcW w:w="10344"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15.9504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14081" w:type="dxa"/>
            <w:gridSpan w:val="1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债券存续期内项目分年收益（单位：亿元）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2022年</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2023年</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2024年</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0.598</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2025年</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3.8724</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2026年</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1.435</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2027年</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1.435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2028年</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1.435</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2029年</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1.435</w:t>
            </w:r>
          </w:p>
        </w:tc>
        <w:tc>
          <w:tcPr>
            <w:tcW w:w="1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2030年</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1.435</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2031年</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1.435</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2032年</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1.435</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2033年</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1.435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2034年</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2035年</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2036年</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2037年</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2038年</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2039年</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2040年</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2041年</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2042年</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2043年</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2044年</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2045年</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2046年</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2047年</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2048年</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2049年</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2050年</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2051年</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2052年</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2053年</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2054年</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2055年</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2056年</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2057年</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1078" w:type="dxa"/>
            <w:tcBorders>
              <w:top w:val="single" w:color="000000" w:sz="4" w:space="0"/>
              <w:left w:val="single" w:color="000000" w:sz="4" w:space="0"/>
              <w:bottom w:val="nil"/>
              <w:right w:val="nil"/>
            </w:tcBorders>
            <w:shd w:val="clear" w:color="auto" w:fill="auto"/>
            <w:noWrap/>
            <w:vAlign w:val="center"/>
          </w:tcPr>
          <w:p>
            <w:pPr>
              <w:rPr>
                <w:rFonts w:hint="eastAsia" w:ascii="仿宋_GB2312" w:hAnsi="仿宋_GB2312" w:eastAsia="仿宋_GB2312" w:cs="仿宋_GB2312"/>
                <w:i w:val="0"/>
                <w:iCs w:val="0"/>
                <w:color w:val="000000"/>
                <w:sz w:val="21"/>
                <w:szCs w:val="21"/>
                <w:u w:val="none"/>
              </w:rPr>
            </w:pPr>
          </w:p>
        </w:tc>
        <w:tc>
          <w:tcPr>
            <w:tcW w:w="930" w:type="dxa"/>
            <w:tcBorders>
              <w:top w:val="single" w:color="000000" w:sz="4" w:space="0"/>
              <w:left w:val="nil"/>
              <w:bottom w:val="nil"/>
              <w:right w:val="nil"/>
            </w:tcBorders>
            <w:shd w:val="clear" w:color="auto" w:fill="auto"/>
            <w:noWrap/>
            <w:vAlign w:val="center"/>
          </w:tcPr>
          <w:p>
            <w:pPr>
              <w:rPr>
                <w:rFonts w:hint="eastAsia" w:ascii="仿宋_GB2312" w:hAnsi="仿宋_GB2312" w:eastAsia="仿宋_GB2312" w:cs="仿宋_GB2312"/>
                <w:i w:val="0"/>
                <w:iCs w:val="0"/>
                <w:color w:val="000000"/>
                <w:sz w:val="21"/>
                <w:szCs w:val="21"/>
                <w:u w:val="none"/>
              </w:rPr>
            </w:pPr>
          </w:p>
        </w:tc>
        <w:tc>
          <w:tcPr>
            <w:tcW w:w="1729" w:type="dxa"/>
            <w:tcBorders>
              <w:top w:val="single" w:color="000000" w:sz="4" w:space="0"/>
              <w:left w:val="nil"/>
              <w:bottom w:val="nil"/>
              <w:right w:val="nil"/>
            </w:tcBorders>
            <w:shd w:val="clear" w:color="auto" w:fill="auto"/>
            <w:noWrap/>
            <w:vAlign w:val="center"/>
          </w:tcPr>
          <w:p>
            <w:pPr>
              <w:rPr>
                <w:rFonts w:hint="eastAsia" w:ascii="仿宋_GB2312" w:hAnsi="仿宋_GB2312" w:eastAsia="仿宋_GB2312" w:cs="仿宋_GB2312"/>
                <w:i w:val="0"/>
                <w:iCs w:val="0"/>
                <w:color w:val="000000"/>
                <w:sz w:val="21"/>
                <w:szCs w:val="21"/>
                <w:u w:val="none"/>
              </w:rPr>
            </w:pPr>
          </w:p>
        </w:tc>
        <w:tc>
          <w:tcPr>
            <w:tcW w:w="1274" w:type="dxa"/>
            <w:tcBorders>
              <w:top w:val="single" w:color="000000" w:sz="4" w:space="0"/>
              <w:left w:val="nil"/>
              <w:bottom w:val="nil"/>
              <w:right w:val="nil"/>
            </w:tcBorders>
            <w:shd w:val="clear" w:color="auto" w:fill="auto"/>
            <w:noWrap/>
            <w:vAlign w:val="center"/>
          </w:tcPr>
          <w:p>
            <w:pPr>
              <w:rPr>
                <w:rFonts w:hint="eastAsia" w:ascii="仿宋_GB2312" w:hAnsi="仿宋_GB2312" w:eastAsia="仿宋_GB2312" w:cs="仿宋_GB2312"/>
                <w:i w:val="0"/>
                <w:iCs w:val="0"/>
                <w:color w:val="000000"/>
                <w:sz w:val="21"/>
                <w:szCs w:val="21"/>
                <w:u w:val="none"/>
              </w:rPr>
            </w:pPr>
          </w:p>
        </w:tc>
        <w:tc>
          <w:tcPr>
            <w:tcW w:w="1149" w:type="dxa"/>
            <w:tcBorders>
              <w:top w:val="single" w:color="000000" w:sz="4" w:space="0"/>
              <w:left w:val="nil"/>
              <w:bottom w:val="nil"/>
              <w:right w:val="nil"/>
            </w:tcBorders>
            <w:shd w:val="clear" w:color="auto" w:fill="auto"/>
            <w:noWrap/>
            <w:vAlign w:val="center"/>
          </w:tcPr>
          <w:p>
            <w:pPr>
              <w:rPr>
                <w:rFonts w:hint="eastAsia" w:ascii="仿宋_GB2312" w:hAnsi="仿宋_GB2312" w:eastAsia="仿宋_GB2312" w:cs="仿宋_GB2312"/>
                <w:i w:val="0"/>
                <w:iCs w:val="0"/>
                <w:color w:val="000000"/>
                <w:sz w:val="21"/>
                <w:szCs w:val="21"/>
                <w:u w:val="none"/>
              </w:rPr>
            </w:pPr>
          </w:p>
        </w:tc>
        <w:tc>
          <w:tcPr>
            <w:tcW w:w="513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债券存续期内项目总收益/项目总投资</w:t>
            </w:r>
          </w:p>
        </w:tc>
        <w:tc>
          <w:tcPr>
            <w:tcW w:w="27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373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债券存续期内项目总债务融资本息</w:t>
            </w:r>
          </w:p>
        </w:tc>
        <w:tc>
          <w:tcPr>
            <w:tcW w:w="242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2.64</w:t>
            </w:r>
          </w:p>
        </w:tc>
        <w:tc>
          <w:tcPr>
            <w:tcW w:w="513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债券存续期内项目总收益/项目总债务融资本息</w:t>
            </w:r>
          </w:p>
        </w:tc>
        <w:tc>
          <w:tcPr>
            <w:tcW w:w="27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6.04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373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债券存续期内项目总债务融资本金</w:t>
            </w:r>
          </w:p>
        </w:tc>
        <w:tc>
          <w:tcPr>
            <w:tcW w:w="242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w:t>
            </w:r>
          </w:p>
        </w:tc>
        <w:tc>
          <w:tcPr>
            <w:tcW w:w="513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债券存续期内项目总收益/项目总债务融资本金</w:t>
            </w:r>
          </w:p>
        </w:tc>
        <w:tc>
          <w:tcPr>
            <w:tcW w:w="27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7.98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373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债券存续期内项目总地方债券融资本息</w:t>
            </w:r>
          </w:p>
        </w:tc>
        <w:tc>
          <w:tcPr>
            <w:tcW w:w="242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2.64</w:t>
            </w:r>
          </w:p>
        </w:tc>
        <w:tc>
          <w:tcPr>
            <w:tcW w:w="513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债券存续期内项目总收益/项目总地方债券融资本息</w:t>
            </w:r>
          </w:p>
        </w:tc>
        <w:tc>
          <w:tcPr>
            <w:tcW w:w="27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6.04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373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债券存续期内项目总地方债券融资本金</w:t>
            </w:r>
          </w:p>
        </w:tc>
        <w:tc>
          <w:tcPr>
            <w:tcW w:w="242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w:t>
            </w:r>
          </w:p>
        </w:tc>
        <w:tc>
          <w:tcPr>
            <w:tcW w:w="513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债券存续期内项目总收益/项目总地方债券融资本金</w:t>
            </w:r>
          </w:p>
        </w:tc>
        <w:tc>
          <w:tcPr>
            <w:tcW w:w="27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7.98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0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项目收益预测依据</w:t>
            </w:r>
          </w:p>
        </w:tc>
        <w:tc>
          <w:tcPr>
            <w:tcW w:w="12073" w:type="dxa"/>
            <w:gridSpan w:val="11"/>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项目可行性研究报告及市场调查数据，同类型项目收入来源为土地出让收入及城市配套费收入。</w:t>
            </w:r>
          </w:p>
        </w:tc>
      </w:tr>
    </w:tbl>
    <w:p>
      <w:pPr>
        <w:ind w:firstLine="560" w:firstLineChars="200"/>
        <w:outlineLvl w:val="0"/>
        <w:rPr>
          <w:rFonts w:hint="eastAsia" w:ascii="仿宋_GB2312" w:hAnsi="仿宋_GB2312" w:eastAsia="仿宋_GB2312" w:cs="仿宋_GB2312"/>
          <w:b w:val="0"/>
          <w:bCs w:val="0"/>
          <w:sz w:val="28"/>
          <w:szCs w:val="28"/>
          <w:highlight w:val="none"/>
          <w:lang w:val="en-US"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pPr>
        <w:rPr>
          <w:rFonts w:hint="eastAsia" w:ascii="仿宋_GB2312" w:hAnsi="仿宋_GB2312" w:eastAsia="仿宋_GB2312" w:cs="仿宋_GB2312"/>
          <w:b w:val="0"/>
          <w:bCs w:val="0"/>
          <w:sz w:val="28"/>
          <w:szCs w:val="28"/>
          <w:highlight w:val="none"/>
          <w:lang w:val="en-US" w:eastAsia="zh-CN"/>
        </w:rPr>
      </w:pPr>
      <w:r>
        <w:rPr>
          <w:rFonts w:hint="eastAsia" w:ascii="仿宋_GB2312" w:hAnsi="仿宋_GB2312" w:eastAsia="仿宋_GB2312" w:cs="仿宋_GB2312"/>
          <w:b w:val="0"/>
          <w:bCs w:val="0"/>
          <w:sz w:val="28"/>
          <w:szCs w:val="28"/>
          <w:highlight w:val="none"/>
          <w:lang w:val="en-US" w:eastAsia="zh-CN"/>
        </w:rPr>
        <w:t>（三）项目立项审批情况</w:t>
      </w:r>
    </w:p>
    <w:p>
      <w:pPr>
        <w:rPr>
          <w:rFonts w:hint="eastAsia" w:ascii="仿宋_GB2312" w:hAnsi="仿宋_GB2312" w:eastAsia="仿宋_GB2312" w:cs="仿宋_GB2312"/>
          <w:b/>
          <w:kern w:val="0"/>
          <w:sz w:val="30"/>
          <w:szCs w:val="30"/>
        </w:rPr>
      </w:pPr>
      <w:r>
        <w:rPr>
          <w:rFonts w:hint="eastAsia" w:ascii="仿宋_GB2312" w:hAnsi="仿宋_GB2312" w:eastAsia="仿宋_GB2312" w:cs="仿宋_GB2312"/>
          <w:b/>
          <w:kern w:val="0"/>
          <w:sz w:val="30"/>
          <w:szCs w:val="30"/>
        </w:rPr>
        <w:drawing>
          <wp:anchor distT="0" distB="0" distL="114300" distR="114300" simplePos="0" relativeHeight="251660288" behindDoc="1" locked="0" layoutInCell="1" allowOverlap="1">
            <wp:simplePos x="0" y="0"/>
            <wp:positionH relativeFrom="column">
              <wp:posOffset>4343400</wp:posOffset>
            </wp:positionH>
            <wp:positionV relativeFrom="paragraph">
              <wp:posOffset>0</wp:posOffset>
            </wp:positionV>
            <wp:extent cx="819785" cy="776605"/>
            <wp:effectExtent l="0" t="0" r="18415" b="4445"/>
            <wp:wrapTight wrapText="bothSides">
              <wp:wrapPolygon>
                <wp:start x="0" y="0"/>
                <wp:lineTo x="0" y="21194"/>
                <wp:lineTo x="21081" y="21194"/>
                <wp:lineTo x="21081" y="0"/>
                <wp:lineTo x="0" y="0"/>
              </wp:wrapPolygon>
            </wp:wrapTight>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7"/>
                    <a:stretch>
                      <a:fillRect/>
                    </a:stretch>
                  </pic:blipFill>
                  <pic:spPr>
                    <a:xfrm>
                      <a:off x="0" y="0"/>
                      <a:ext cx="819785" cy="776605"/>
                    </a:xfrm>
                    <a:prstGeom prst="rect">
                      <a:avLst/>
                    </a:prstGeom>
                    <a:solidFill>
                      <a:srgbClr val="1F497D"/>
                    </a:solidFill>
                    <a:ln>
                      <a:noFill/>
                    </a:ln>
                  </pic:spPr>
                </pic:pic>
              </a:graphicData>
            </a:graphic>
          </wp:anchor>
        </w:drawing>
      </w:r>
      <w:r>
        <w:rPr>
          <w:rFonts w:hint="eastAsia" w:ascii="仿宋_GB2312" w:hAnsi="仿宋_GB2312" w:eastAsia="仿宋_GB2312" w:cs="仿宋_GB2312"/>
          <w:b/>
          <w:kern w:val="0"/>
          <w:sz w:val="30"/>
          <w:szCs w:val="30"/>
        </w:rPr>
        <w:t>项目基本信息【2206-130481-89-01-388068】</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szCs w:val="21"/>
              </w:rPr>
            </w:pPr>
            <w:r>
              <w:rPr>
                <w:rFonts w:hint="eastAsia" w:ascii="仿宋_GB2312" w:hAnsi="仿宋_GB2312" w:eastAsia="仿宋_GB2312" w:cs="仿宋_GB2312"/>
                <w:kern w:val="0"/>
                <w:szCs w:val="21"/>
              </w:rPr>
              <w:t>核准目录</w:t>
            </w:r>
          </w:p>
        </w:tc>
        <w:tc>
          <w:tcPr>
            <w:tcW w:w="639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szCs w:val="21"/>
              </w:rPr>
            </w:pPr>
            <w:r>
              <w:rPr>
                <w:rFonts w:hint="eastAsia" w:ascii="仿宋_GB2312" w:hAnsi="仿宋_GB2312" w:eastAsia="仿宋_GB2312" w:cs="仿宋_GB2312"/>
                <w:szCs w:val="21"/>
              </w:rPr>
              <w:t>县级政府投资的其他建设项目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szCs w:val="21"/>
              </w:rPr>
            </w:pPr>
            <w:r>
              <w:rPr>
                <w:rFonts w:hint="eastAsia" w:ascii="仿宋_GB2312" w:hAnsi="仿宋_GB2312" w:eastAsia="仿宋_GB2312" w:cs="仿宋_GB2312"/>
                <w:kern w:val="0"/>
                <w:szCs w:val="21"/>
              </w:rPr>
              <w:t>项目名称</w:t>
            </w:r>
          </w:p>
        </w:tc>
        <w:tc>
          <w:tcPr>
            <w:tcW w:w="639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szCs w:val="21"/>
              </w:rPr>
            </w:pPr>
            <w:r>
              <w:rPr>
                <w:rFonts w:hint="eastAsia" w:ascii="仿宋_GB2312" w:hAnsi="仿宋_GB2312" w:eastAsia="仿宋_GB2312" w:cs="仿宋_GB2312"/>
                <w:szCs w:val="21"/>
              </w:rPr>
              <w:t>武安工业园区产城融合示范区基础设施建设项目(二期）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szCs w:val="21"/>
              </w:rPr>
            </w:pPr>
            <w:r>
              <w:rPr>
                <w:rFonts w:hint="eastAsia" w:ascii="仿宋_GB2312" w:hAnsi="仿宋_GB2312" w:eastAsia="仿宋_GB2312" w:cs="仿宋_GB2312"/>
                <w:kern w:val="0"/>
                <w:szCs w:val="21"/>
              </w:rPr>
              <w:t>项目类别</w:t>
            </w:r>
          </w:p>
        </w:tc>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szCs w:val="21"/>
              </w:rPr>
            </w:pPr>
            <w:r>
              <w:rPr>
                <w:rFonts w:hint="eastAsia" w:ascii="仿宋_GB2312" w:hAnsi="仿宋_GB2312" w:eastAsia="仿宋_GB2312" w:cs="仿宋_GB2312"/>
                <w:szCs w:val="21"/>
              </w:rPr>
              <w:t>审批</w:t>
            </w:r>
          </w:p>
        </w:tc>
        <w:tc>
          <w:tcPr>
            <w:tcW w:w="2131"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szCs w:val="21"/>
              </w:rPr>
            </w:pPr>
            <w:r>
              <w:rPr>
                <w:rFonts w:hint="eastAsia" w:ascii="仿宋_GB2312" w:hAnsi="仿宋_GB2312" w:eastAsia="仿宋_GB2312" w:cs="仿宋_GB2312"/>
                <w:kern w:val="0"/>
                <w:szCs w:val="21"/>
              </w:rPr>
              <w:t>建设性质</w:t>
            </w:r>
          </w:p>
        </w:tc>
        <w:tc>
          <w:tcPr>
            <w:tcW w:w="213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szCs w:val="21"/>
              </w:rPr>
            </w:pPr>
            <w:r>
              <w:rPr>
                <w:rFonts w:hint="eastAsia" w:ascii="仿宋_GB2312" w:hAnsi="仿宋_GB2312" w:eastAsia="仿宋_GB2312" w:cs="仿宋_GB2312"/>
                <w:szCs w:val="21"/>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szCs w:val="21"/>
              </w:rPr>
            </w:pPr>
            <w:r>
              <w:rPr>
                <w:rFonts w:hint="eastAsia" w:ascii="仿宋_GB2312" w:hAnsi="仿宋_GB2312" w:eastAsia="仿宋_GB2312" w:cs="仿宋_GB2312"/>
                <w:kern w:val="0"/>
                <w:szCs w:val="21"/>
              </w:rPr>
              <w:t>国标行业</w:t>
            </w:r>
          </w:p>
        </w:tc>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szCs w:val="21"/>
              </w:rPr>
            </w:pPr>
            <w:r>
              <w:rPr>
                <w:rFonts w:hint="eastAsia" w:ascii="仿宋_GB2312" w:hAnsi="仿宋_GB2312" w:eastAsia="仿宋_GB2312" w:cs="仿宋_GB2312"/>
                <w:szCs w:val="21"/>
              </w:rPr>
              <w:t xml:space="preserve">其他道路、隧道和桥梁工程建筑   </w:t>
            </w:r>
          </w:p>
        </w:tc>
        <w:tc>
          <w:tcPr>
            <w:tcW w:w="2131"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szCs w:val="21"/>
              </w:rPr>
            </w:pPr>
            <w:r>
              <w:rPr>
                <w:rFonts w:hint="eastAsia" w:ascii="仿宋_GB2312" w:hAnsi="仿宋_GB2312" w:eastAsia="仿宋_GB2312" w:cs="仿宋_GB2312"/>
                <w:kern w:val="0"/>
                <w:szCs w:val="21"/>
              </w:rPr>
              <w:t>所属行业</w:t>
            </w:r>
          </w:p>
        </w:tc>
        <w:tc>
          <w:tcPr>
            <w:tcW w:w="213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szCs w:val="21"/>
              </w:rPr>
            </w:pPr>
            <w:r>
              <w:rPr>
                <w:rFonts w:hint="eastAsia" w:ascii="仿宋_GB2312" w:hAnsi="仿宋_GB2312" w:eastAsia="仿宋_GB2312" w:cs="仿宋_GB2312"/>
                <w:szCs w:val="21"/>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szCs w:val="21"/>
              </w:rPr>
            </w:pPr>
            <w:r>
              <w:rPr>
                <w:rFonts w:hint="eastAsia" w:ascii="仿宋_GB2312" w:hAnsi="仿宋_GB2312" w:eastAsia="仿宋_GB2312" w:cs="仿宋_GB2312"/>
                <w:kern w:val="0"/>
                <w:szCs w:val="21"/>
              </w:rPr>
              <w:t>产业结构调整指导目录</w:t>
            </w:r>
          </w:p>
        </w:tc>
        <w:tc>
          <w:tcPr>
            <w:tcW w:w="639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szCs w:val="21"/>
              </w:rPr>
            </w:pPr>
            <w:r>
              <w:rPr>
                <w:rFonts w:hint="eastAsia" w:ascii="仿宋_GB2312" w:hAnsi="仿宋_GB2312" w:eastAsia="仿宋_GB2312" w:cs="仿宋_GB2312"/>
                <w:szCs w:val="21"/>
              </w:rPr>
              <w:t>允许类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szCs w:val="21"/>
              </w:rPr>
            </w:pPr>
            <w:r>
              <w:rPr>
                <w:rFonts w:hint="eastAsia" w:ascii="仿宋_GB2312" w:hAnsi="仿宋_GB2312" w:eastAsia="仿宋_GB2312" w:cs="仿宋_GB2312"/>
                <w:kern w:val="0"/>
                <w:szCs w:val="21"/>
              </w:rPr>
              <w:t>项目属性</w:t>
            </w:r>
          </w:p>
        </w:tc>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szCs w:val="21"/>
              </w:rPr>
            </w:pPr>
            <w:r>
              <w:rPr>
                <w:rFonts w:hint="eastAsia" w:ascii="仿宋_GB2312" w:hAnsi="仿宋_GB2312" w:eastAsia="仿宋_GB2312" w:cs="仿宋_GB2312"/>
                <w:szCs w:val="21"/>
              </w:rPr>
              <w:t>其他项目</w:t>
            </w:r>
          </w:p>
        </w:tc>
        <w:tc>
          <w:tcPr>
            <w:tcW w:w="2131"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szCs w:val="21"/>
              </w:rPr>
            </w:pPr>
            <w:r>
              <w:rPr>
                <w:rFonts w:hint="eastAsia" w:ascii="仿宋_GB2312" w:hAnsi="仿宋_GB2312" w:eastAsia="仿宋_GB2312" w:cs="仿宋_GB2312"/>
                <w:kern w:val="0"/>
                <w:szCs w:val="21"/>
              </w:rPr>
              <w:t>总建筑面积</w:t>
            </w:r>
          </w:p>
        </w:tc>
        <w:tc>
          <w:tcPr>
            <w:tcW w:w="213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szCs w:val="21"/>
              </w:rPr>
            </w:pPr>
            <w:r>
              <w:rPr>
                <w:rFonts w:hint="eastAsia" w:ascii="仿宋_GB2312" w:hAnsi="仿宋_GB2312" w:eastAsia="仿宋_GB2312" w:cs="仿宋_GB2312"/>
                <w:szCs w:val="21"/>
              </w:rPr>
              <w:t>232537㎡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szCs w:val="21"/>
              </w:rPr>
            </w:pPr>
            <w:r>
              <w:rPr>
                <w:rFonts w:hint="eastAsia" w:ascii="仿宋_GB2312" w:hAnsi="仿宋_GB2312" w:eastAsia="仿宋_GB2312" w:cs="仿宋_GB2312"/>
                <w:kern w:val="0"/>
                <w:szCs w:val="21"/>
              </w:rPr>
              <w:t>建设地点</w:t>
            </w:r>
          </w:p>
        </w:tc>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szCs w:val="21"/>
              </w:rPr>
            </w:pPr>
            <w:r>
              <w:rPr>
                <w:rFonts w:hint="eastAsia" w:ascii="仿宋_GB2312" w:hAnsi="仿宋_GB2312" w:eastAsia="仿宋_GB2312" w:cs="仿宋_GB2312"/>
                <w:szCs w:val="21"/>
              </w:rPr>
              <w:t>邯郸市-武安市工业园区</w:t>
            </w:r>
          </w:p>
        </w:tc>
        <w:tc>
          <w:tcPr>
            <w:tcW w:w="2131"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szCs w:val="21"/>
              </w:rPr>
            </w:pPr>
            <w:r>
              <w:rPr>
                <w:rFonts w:hint="eastAsia" w:ascii="仿宋_GB2312" w:hAnsi="仿宋_GB2312" w:eastAsia="仿宋_GB2312" w:cs="仿宋_GB2312"/>
                <w:kern w:val="0"/>
                <w:szCs w:val="21"/>
              </w:rPr>
              <w:t>详细地址</w:t>
            </w:r>
          </w:p>
        </w:tc>
        <w:tc>
          <w:tcPr>
            <w:tcW w:w="213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szCs w:val="21"/>
              </w:rPr>
            </w:pPr>
            <w:r>
              <w:rPr>
                <w:rFonts w:hint="eastAsia" w:ascii="仿宋_GB2312" w:hAnsi="仿宋_GB2312" w:eastAsia="仿宋_GB2312" w:cs="仿宋_GB2312"/>
                <w:szCs w:val="21"/>
              </w:rPr>
              <w:t>河北省邯郸市武安工业园区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szCs w:val="21"/>
              </w:rPr>
            </w:pPr>
            <w:r>
              <w:rPr>
                <w:rFonts w:hint="eastAsia" w:ascii="仿宋_GB2312" w:hAnsi="仿宋_GB2312" w:eastAsia="仿宋_GB2312" w:cs="仿宋_GB2312"/>
                <w:kern w:val="0"/>
                <w:szCs w:val="21"/>
              </w:rPr>
              <w:t>建设规模及内容</w:t>
            </w:r>
          </w:p>
        </w:tc>
        <w:tc>
          <w:tcPr>
            <w:tcW w:w="639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szCs w:val="21"/>
              </w:rPr>
            </w:pPr>
            <w:r>
              <w:rPr>
                <w:rFonts w:hint="eastAsia" w:ascii="仿宋_GB2312" w:hAnsi="仿宋_GB2312" w:eastAsia="仿宋_GB2312" w:cs="仿宋_GB2312"/>
                <w:szCs w:val="21"/>
              </w:rPr>
              <w:t>该项目为产城融合示范区与主城区连接主干道，起点为武安市东环路，终点为曹公大街，道路全长1626.15m,道路控制红线宽度55m，主要建设内容包含道路及给排水、供热、燃气、电力及附属工程等。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szCs w:val="21"/>
              </w:rPr>
            </w:pPr>
            <w:r>
              <w:rPr>
                <w:rFonts w:hint="eastAsia" w:ascii="仿宋_GB2312" w:hAnsi="仿宋_GB2312" w:eastAsia="仿宋_GB2312" w:cs="仿宋_GB2312"/>
                <w:kern w:val="0"/>
                <w:szCs w:val="21"/>
              </w:rPr>
              <w:t>拟开工日期</w:t>
            </w:r>
          </w:p>
        </w:tc>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szCs w:val="21"/>
              </w:rPr>
            </w:pPr>
            <w:r>
              <w:rPr>
                <w:rFonts w:hint="eastAsia" w:ascii="仿宋_GB2312" w:hAnsi="仿宋_GB2312" w:eastAsia="仿宋_GB2312" w:cs="仿宋_GB2312"/>
                <w:szCs w:val="21"/>
              </w:rPr>
              <w:t>2022-08</w:t>
            </w:r>
          </w:p>
        </w:tc>
        <w:tc>
          <w:tcPr>
            <w:tcW w:w="2131"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szCs w:val="21"/>
              </w:rPr>
            </w:pPr>
            <w:r>
              <w:rPr>
                <w:rFonts w:hint="eastAsia" w:ascii="仿宋_GB2312" w:hAnsi="仿宋_GB2312" w:eastAsia="仿宋_GB2312" w:cs="仿宋_GB2312"/>
                <w:kern w:val="0"/>
                <w:szCs w:val="21"/>
              </w:rPr>
              <w:t>拟建成日期</w:t>
            </w:r>
          </w:p>
        </w:tc>
        <w:tc>
          <w:tcPr>
            <w:tcW w:w="213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szCs w:val="21"/>
              </w:rPr>
            </w:pPr>
            <w:r>
              <w:rPr>
                <w:rFonts w:hint="eastAsia" w:ascii="仿宋_GB2312" w:hAnsi="仿宋_GB2312" w:eastAsia="仿宋_GB2312" w:cs="仿宋_GB2312"/>
                <w:szCs w:val="21"/>
              </w:rPr>
              <w:t>2024-07</w:t>
            </w:r>
          </w:p>
        </w:tc>
      </w:tr>
    </w:tbl>
    <w:p>
      <w:pPr>
        <w:rPr>
          <w:rFonts w:hint="eastAsia" w:ascii="仿宋_GB2312" w:hAnsi="仿宋_GB2312" w:eastAsia="仿宋_GB2312" w:cs="仿宋_GB2312"/>
          <w:b/>
          <w:color w:val="000000"/>
          <w:sz w:val="30"/>
          <w:szCs w:val="30"/>
        </w:rPr>
      </w:pPr>
      <w:r>
        <w:rPr>
          <w:rFonts w:hint="eastAsia" w:ascii="仿宋_GB2312" w:hAnsi="仿宋_GB2312" w:eastAsia="仿宋_GB2312" w:cs="仿宋_GB2312"/>
          <w:b/>
          <w:color w:val="000000"/>
          <w:sz w:val="30"/>
          <w:szCs w:val="30"/>
        </w:rPr>
        <w:t>项目资金情况</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szCs w:val="21"/>
              </w:rPr>
            </w:pPr>
            <w:r>
              <w:rPr>
                <w:rFonts w:hint="eastAsia" w:ascii="仿宋_GB2312" w:hAnsi="仿宋_GB2312" w:eastAsia="仿宋_GB2312" w:cs="仿宋_GB2312"/>
                <w:color w:val="333333"/>
                <w:szCs w:val="21"/>
                <w:shd w:val="clear" w:color="auto" w:fill="FFFFFF"/>
              </w:rPr>
              <w:t>总投资（万元）</w:t>
            </w:r>
          </w:p>
        </w:tc>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rPr>
              <w:t>37850</w:t>
            </w:r>
          </w:p>
        </w:tc>
        <w:tc>
          <w:tcPr>
            <w:tcW w:w="2131"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rPr>
            </w:pPr>
            <w:r>
              <w:rPr>
                <w:rFonts w:hint="eastAsia" w:ascii="仿宋_GB2312" w:hAnsi="仿宋_GB2312" w:eastAsia="仿宋_GB2312" w:cs="仿宋_GB2312"/>
                <w:color w:val="333333"/>
                <w:szCs w:val="21"/>
                <w:shd w:val="clear" w:color="auto" w:fill="FFFFFF"/>
              </w:rPr>
              <w:t>项目资本金（万元）</w:t>
            </w:r>
          </w:p>
        </w:tc>
        <w:tc>
          <w:tcPr>
            <w:tcW w:w="213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17850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szCs w:val="21"/>
              </w:rPr>
            </w:pPr>
            <w:r>
              <w:rPr>
                <w:rFonts w:hint="eastAsia" w:ascii="仿宋_GB2312" w:hAnsi="仿宋_GB2312" w:eastAsia="仿宋_GB2312" w:cs="仿宋_GB2312"/>
                <w:color w:val="333333"/>
                <w:szCs w:val="21"/>
                <w:shd w:val="clear" w:color="auto" w:fill="FFFFFF"/>
              </w:rPr>
              <w:t>固定资产投资(万元)</w:t>
            </w:r>
          </w:p>
        </w:tc>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rPr>
              <w:t>37850</w:t>
            </w:r>
          </w:p>
        </w:tc>
        <w:tc>
          <w:tcPr>
            <w:tcW w:w="2131"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rPr>
            </w:pPr>
            <w:r>
              <w:rPr>
                <w:rFonts w:hint="eastAsia" w:ascii="仿宋_GB2312" w:hAnsi="仿宋_GB2312" w:eastAsia="仿宋_GB2312" w:cs="仿宋_GB2312"/>
                <w:color w:val="333333"/>
                <w:szCs w:val="21"/>
                <w:shd w:val="clear" w:color="auto" w:fill="FFFFFF"/>
              </w:rPr>
              <w:t>铺底流动资金(万元)</w:t>
            </w:r>
          </w:p>
        </w:tc>
        <w:tc>
          <w:tcPr>
            <w:tcW w:w="213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szCs w:val="21"/>
              </w:rPr>
            </w:pPr>
            <w:r>
              <w:rPr>
                <w:rFonts w:hint="eastAsia" w:ascii="仿宋_GB2312" w:hAnsi="仿宋_GB2312" w:eastAsia="仿宋_GB2312" w:cs="仿宋_GB2312"/>
                <w:color w:val="333333"/>
                <w:szCs w:val="21"/>
                <w:shd w:val="clear" w:color="auto" w:fill="FFFFFF"/>
              </w:rPr>
              <w:t>资金来源</w:t>
            </w:r>
          </w:p>
        </w:tc>
        <w:tc>
          <w:tcPr>
            <w:tcW w:w="639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szCs w:val="21"/>
              </w:rPr>
            </w:pPr>
            <w:r>
              <w:rPr>
                <w:rFonts w:hint="eastAsia" w:ascii="仿宋_GB2312" w:hAnsi="仿宋_GB2312" w:eastAsia="仿宋_GB2312" w:cs="仿宋_GB2312"/>
                <w:szCs w:val="21"/>
              </w:rPr>
              <w:t>□  企业自有资金    政府补助   □  银行贷款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szCs w:val="21"/>
              </w:rPr>
            </w:pPr>
            <w:r>
              <w:rPr>
                <w:rFonts w:hint="eastAsia" w:ascii="仿宋_GB2312" w:hAnsi="仿宋_GB2312" w:eastAsia="仿宋_GB2312" w:cs="仿宋_GB2312"/>
                <w:color w:val="333333"/>
                <w:szCs w:val="21"/>
                <w:shd w:val="clear" w:color="auto" w:fill="FFFFFF"/>
              </w:rPr>
              <w:t>政府补助金额(万元)</w:t>
            </w:r>
          </w:p>
        </w:tc>
        <w:tc>
          <w:tcPr>
            <w:tcW w:w="639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szCs w:val="21"/>
              </w:rPr>
            </w:pPr>
            <w:r>
              <w:rPr>
                <w:rFonts w:hint="eastAsia" w:ascii="仿宋_GB2312" w:hAnsi="仿宋_GB2312" w:eastAsia="仿宋_GB2312" w:cs="仿宋_GB2312"/>
                <w:szCs w:val="21"/>
              </w:rPr>
              <w:t>37850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szCs w:val="21"/>
              </w:rPr>
            </w:pPr>
            <w:r>
              <w:rPr>
                <w:rFonts w:hint="eastAsia" w:ascii="仿宋_GB2312" w:hAnsi="仿宋_GB2312" w:eastAsia="仿宋_GB2312" w:cs="仿宋_GB2312"/>
                <w:color w:val="333333"/>
                <w:szCs w:val="21"/>
                <w:shd w:val="clear" w:color="auto" w:fill="FFFFFF"/>
              </w:rPr>
              <w:t>资金说明</w:t>
            </w:r>
          </w:p>
        </w:tc>
        <w:tc>
          <w:tcPr>
            <w:tcW w:w="639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szCs w:val="21"/>
              </w:rPr>
            </w:pPr>
            <w:r>
              <w:rPr>
                <w:rFonts w:hint="eastAsia" w:ascii="仿宋_GB2312" w:hAnsi="仿宋_GB2312" w:eastAsia="仿宋_GB2312" w:cs="仿宋_GB2312"/>
                <w:szCs w:val="21"/>
              </w:rPr>
              <w:t>市财政资金</w:t>
            </w:r>
          </w:p>
        </w:tc>
      </w:tr>
    </w:tbl>
    <w:p>
      <w:pPr>
        <w:rPr>
          <w:rFonts w:hint="eastAsia" w:ascii="仿宋_GB2312" w:hAnsi="仿宋_GB2312" w:eastAsia="仿宋_GB2312" w:cs="仿宋_GB2312"/>
          <w:b/>
          <w:color w:val="000000"/>
          <w:sz w:val="30"/>
          <w:szCs w:val="30"/>
        </w:rPr>
      </w:pPr>
      <w:r>
        <w:rPr>
          <w:rFonts w:hint="eastAsia" w:ascii="仿宋_GB2312" w:hAnsi="仿宋_GB2312" w:eastAsia="仿宋_GB2312" w:cs="仿宋_GB2312"/>
          <w:b/>
          <w:color w:val="000000"/>
          <w:sz w:val="30"/>
          <w:szCs w:val="30"/>
        </w:rPr>
        <w:t>项目（法人）单位信息</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4"/>
        <w:gridCol w:w="2124"/>
        <w:gridCol w:w="2125"/>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2124"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rPr>
            </w:pPr>
            <w:r>
              <w:rPr>
                <w:rFonts w:hint="eastAsia" w:ascii="仿宋_GB2312" w:hAnsi="仿宋_GB2312" w:eastAsia="仿宋_GB2312" w:cs="仿宋_GB2312"/>
                <w:color w:val="333333"/>
                <w:szCs w:val="21"/>
                <w:shd w:val="clear" w:color="auto" w:fill="FFFFFF"/>
              </w:rPr>
              <w:t>项目（法人）单位</w:t>
            </w:r>
          </w:p>
        </w:tc>
        <w:tc>
          <w:tcPr>
            <w:tcW w:w="2124"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rPr>
              <w:t>河北武安工业园区管理委员会</w:t>
            </w: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rPr>
            </w:pPr>
            <w:r>
              <w:rPr>
                <w:rFonts w:hint="eastAsia" w:ascii="仿宋_GB2312" w:hAnsi="仿宋_GB2312" w:eastAsia="仿宋_GB2312" w:cs="仿宋_GB2312"/>
                <w:color w:val="333333"/>
                <w:szCs w:val="21"/>
                <w:shd w:val="clear" w:color="auto" w:fill="FFFFFF"/>
              </w:rPr>
              <w:t>项目单位性质</w:t>
            </w: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2124"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rPr>
            </w:pPr>
            <w:r>
              <w:rPr>
                <w:rFonts w:hint="eastAsia" w:ascii="仿宋_GB2312" w:hAnsi="仿宋_GB2312" w:eastAsia="仿宋_GB2312" w:cs="仿宋_GB2312"/>
                <w:color w:val="333333"/>
                <w:szCs w:val="21"/>
                <w:shd w:val="clear" w:color="auto" w:fill="FFFFFF"/>
              </w:rPr>
              <w:t>项目法人证照类型</w:t>
            </w:r>
          </w:p>
        </w:tc>
        <w:tc>
          <w:tcPr>
            <w:tcW w:w="2124"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rPr>
              <w:t>统一社会信用代码</w:t>
            </w: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rPr>
            </w:pPr>
            <w:r>
              <w:rPr>
                <w:rFonts w:hint="eastAsia" w:ascii="仿宋_GB2312" w:hAnsi="仿宋_GB2312" w:eastAsia="仿宋_GB2312" w:cs="仿宋_GB2312"/>
                <w:color w:val="333333"/>
                <w:szCs w:val="21"/>
                <w:shd w:val="clear" w:color="auto" w:fill="FFFFFF"/>
              </w:rPr>
              <w:t>项目法人证照号码</w:t>
            </w: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rPr>
              <w:t>11130481401839544B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2124"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rPr>
            </w:pPr>
            <w:r>
              <w:rPr>
                <w:rFonts w:hint="eastAsia" w:ascii="仿宋_GB2312" w:hAnsi="仿宋_GB2312" w:eastAsia="仿宋_GB2312" w:cs="仿宋_GB2312"/>
                <w:color w:val="333333"/>
                <w:szCs w:val="21"/>
                <w:shd w:val="clear" w:color="auto" w:fill="FFFFFF"/>
              </w:rPr>
              <w:t>法定代表人</w:t>
            </w:r>
          </w:p>
        </w:tc>
        <w:tc>
          <w:tcPr>
            <w:tcW w:w="637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rPr>
              <w:t>裴立军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2124"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rPr>
            </w:pPr>
            <w:r>
              <w:rPr>
                <w:rFonts w:hint="eastAsia" w:ascii="仿宋_GB2312" w:hAnsi="仿宋_GB2312" w:eastAsia="仿宋_GB2312" w:cs="仿宋_GB2312"/>
                <w:color w:val="333333"/>
                <w:szCs w:val="21"/>
                <w:shd w:val="clear" w:color="auto" w:fill="FFFFFF"/>
              </w:rPr>
              <w:t>法定代表人联系电话</w:t>
            </w:r>
          </w:p>
        </w:tc>
        <w:tc>
          <w:tcPr>
            <w:tcW w:w="2124"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rPr>
            </w:pP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rPr>
            </w:pPr>
            <w:r>
              <w:rPr>
                <w:rFonts w:hint="eastAsia" w:ascii="仿宋_GB2312" w:hAnsi="仿宋_GB2312" w:eastAsia="仿宋_GB2312" w:cs="仿宋_GB2312"/>
                <w:color w:val="333333"/>
                <w:szCs w:val="21"/>
                <w:shd w:val="clear" w:color="auto" w:fill="FFFFFF"/>
              </w:rPr>
              <w:t>法定代表人联系手机</w:t>
            </w: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rPr>
              <w:t>13931026206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2124"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rPr>
            </w:pPr>
            <w:r>
              <w:rPr>
                <w:rFonts w:hint="eastAsia" w:ascii="仿宋_GB2312" w:hAnsi="仿宋_GB2312" w:eastAsia="仿宋_GB2312" w:cs="仿宋_GB2312"/>
                <w:color w:val="333333"/>
                <w:szCs w:val="21"/>
                <w:shd w:val="clear" w:color="auto" w:fill="FFFFFF"/>
              </w:rPr>
              <w:t>项目负责人</w:t>
            </w:r>
          </w:p>
        </w:tc>
        <w:tc>
          <w:tcPr>
            <w:tcW w:w="637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rPr>
              <w:t>武安工业园区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2124"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rPr>
            </w:pPr>
            <w:r>
              <w:rPr>
                <w:rFonts w:hint="eastAsia" w:ascii="仿宋_GB2312" w:hAnsi="仿宋_GB2312" w:eastAsia="仿宋_GB2312" w:cs="仿宋_GB2312"/>
                <w:color w:val="333333"/>
                <w:szCs w:val="21"/>
                <w:shd w:val="clear" w:color="auto" w:fill="FFFFFF"/>
              </w:rPr>
              <w:t>负责人联系电话</w:t>
            </w:r>
          </w:p>
        </w:tc>
        <w:tc>
          <w:tcPr>
            <w:tcW w:w="2124"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rPr>
            </w:pP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rPr>
            </w:pPr>
            <w:r>
              <w:rPr>
                <w:rFonts w:hint="eastAsia" w:ascii="仿宋_GB2312" w:hAnsi="仿宋_GB2312" w:eastAsia="仿宋_GB2312" w:cs="仿宋_GB2312"/>
                <w:color w:val="333333"/>
                <w:szCs w:val="21"/>
                <w:shd w:val="clear" w:color="auto" w:fill="FFFFFF"/>
              </w:rPr>
              <w:t>负责人联系手机</w:t>
            </w: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rPr>
              <w:t>15831036261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2124"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rPr>
            </w:pPr>
            <w:r>
              <w:rPr>
                <w:rFonts w:hint="eastAsia" w:ascii="仿宋_GB2312" w:hAnsi="仿宋_GB2312" w:eastAsia="仿宋_GB2312" w:cs="仿宋_GB2312"/>
                <w:color w:val="333333"/>
                <w:szCs w:val="21"/>
                <w:shd w:val="clear" w:color="auto" w:fill="FFFFFF"/>
              </w:rPr>
              <w:t>负责人邮箱</w:t>
            </w:r>
          </w:p>
        </w:tc>
        <w:tc>
          <w:tcPr>
            <w:tcW w:w="2124"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rPr>
            </w:pP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rPr>
            </w:pPr>
            <w:r>
              <w:rPr>
                <w:rFonts w:hint="eastAsia" w:ascii="仿宋_GB2312" w:hAnsi="仿宋_GB2312" w:eastAsia="仿宋_GB2312" w:cs="仿宋_GB2312"/>
                <w:color w:val="333333"/>
                <w:szCs w:val="21"/>
                <w:shd w:val="clear" w:color="auto" w:fill="FFFFFF"/>
              </w:rPr>
              <w:t>传真</w:t>
            </w: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trPr>
        <w:tc>
          <w:tcPr>
            <w:tcW w:w="2124"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rPr>
            </w:pPr>
            <w:r>
              <w:rPr>
                <w:rFonts w:hint="eastAsia" w:ascii="仿宋_GB2312" w:hAnsi="仿宋_GB2312" w:eastAsia="仿宋_GB2312" w:cs="仿宋_GB2312"/>
                <w:color w:val="333333"/>
                <w:szCs w:val="21"/>
                <w:shd w:val="clear" w:color="auto" w:fill="FFFFFF"/>
              </w:rPr>
              <w:t>通讯地址</w:t>
            </w:r>
          </w:p>
        </w:tc>
        <w:tc>
          <w:tcPr>
            <w:tcW w:w="637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rPr>
            </w:pPr>
          </w:p>
        </w:tc>
      </w:tr>
    </w:tbl>
    <w:p>
      <w:pPr>
        <w:rPr>
          <w:rFonts w:hint="eastAsia" w:ascii="仿宋_GB2312" w:hAnsi="仿宋_GB2312" w:eastAsia="仿宋_GB2312" w:cs="仿宋_GB2312"/>
        </w:rPr>
      </w:pPr>
    </w:p>
    <w:p>
      <w:pPr>
        <w:rPr>
          <w:rFonts w:hint="eastAsia" w:ascii="仿宋_GB2312" w:hAnsi="仿宋_GB2312" w:eastAsia="仿宋_GB2312" w:cs="仿宋_GB2312"/>
        </w:rPr>
      </w:pPr>
      <w:r>
        <w:rPr>
          <w:rFonts w:hint="eastAsia" w:ascii="仿宋_GB2312" w:hAnsi="仿宋_GB2312" w:eastAsia="仿宋_GB2312" w:cs="仿宋_GB2312"/>
          <w:color w:val="333333"/>
          <w:szCs w:val="21"/>
          <w:shd w:val="clear" w:color="auto" w:fill="FFFFFF"/>
        </w:rPr>
        <w:t>申报人承诺填写的信息真实、完整、准确，符合法律法规，如有违规情况，愿承担相关的法律责任。</w:t>
      </w:r>
    </w:p>
    <w:p>
      <w:pPr>
        <w:ind w:firstLine="562" w:firstLineChars="200"/>
        <w:outlineLvl w:val="0"/>
        <w:rPr>
          <w:rFonts w:hint="eastAsia"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二、项目基本背景情况</w:t>
      </w:r>
    </w:p>
    <w:p>
      <w:pPr>
        <w:ind w:firstLine="560" w:firstLineChars="200"/>
        <w:outlineLvl w:val="0"/>
        <w:rPr>
          <w:rFonts w:hint="eastAsia" w:ascii="仿宋_GB2312" w:hAnsi="仿宋_GB2312" w:eastAsia="仿宋_GB2312" w:cs="仿宋_GB2312"/>
          <w:b w:val="0"/>
          <w:bCs w:val="0"/>
          <w:sz w:val="28"/>
          <w:szCs w:val="28"/>
          <w:highlight w:val="none"/>
        </w:rPr>
      </w:pPr>
      <w:r>
        <w:rPr>
          <w:rFonts w:hint="eastAsia" w:ascii="仿宋_GB2312" w:hAnsi="仿宋_GB2312" w:eastAsia="仿宋_GB2312" w:cs="仿宋_GB2312"/>
          <w:b w:val="0"/>
          <w:bCs w:val="0"/>
          <w:sz w:val="28"/>
          <w:szCs w:val="28"/>
          <w:highlight w:val="none"/>
          <w:lang w:eastAsia="zh-CN"/>
        </w:rPr>
        <w:t>（</w:t>
      </w:r>
      <w:r>
        <w:rPr>
          <w:rFonts w:hint="eastAsia" w:ascii="仿宋_GB2312" w:hAnsi="仿宋_GB2312" w:eastAsia="仿宋_GB2312" w:cs="仿宋_GB2312"/>
          <w:b w:val="0"/>
          <w:bCs w:val="0"/>
          <w:sz w:val="28"/>
          <w:szCs w:val="28"/>
          <w:highlight w:val="none"/>
          <w:lang w:val="en-US" w:eastAsia="zh-CN"/>
        </w:rPr>
        <w:t>一</w:t>
      </w:r>
      <w:r>
        <w:rPr>
          <w:rFonts w:hint="eastAsia" w:ascii="仿宋_GB2312" w:hAnsi="仿宋_GB2312" w:eastAsia="仿宋_GB2312" w:cs="仿宋_GB2312"/>
          <w:b w:val="0"/>
          <w:bCs w:val="0"/>
          <w:sz w:val="28"/>
          <w:szCs w:val="28"/>
          <w:highlight w:val="none"/>
          <w:lang w:eastAsia="zh-CN"/>
        </w:rPr>
        <w:t>）</w:t>
      </w:r>
      <w:r>
        <w:rPr>
          <w:rFonts w:hint="eastAsia" w:ascii="仿宋_GB2312" w:hAnsi="仿宋_GB2312" w:eastAsia="仿宋_GB2312" w:cs="仿宋_GB2312"/>
          <w:b w:val="0"/>
          <w:bCs w:val="0"/>
          <w:sz w:val="28"/>
          <w:szCs w:val="28"/>
          <w:highlight w:val="none"/>
        </w:rPr>
        <w:t>区域概况</w:t>
      </w:r>
    </w:p>
    <w:p>
      <w:pPr>
        <w:pStyle w:val="77"/>
        <w:keepNext w:val="0"/>
        <w:keepLines w:val="0"/>
        <w:widowControl w:val="0"/>
        <w:shd w:val="clear" w:color="auto" w:fill="auto"/>
        <w:bidi w:val="0"/>
        <w:spacing w:before="0" w:after="0" w:line="623" w:lineRule="exact"/>
        <w:ind w:left="0" w:right="0" w:firstLine="600"/>
        <w:jc w:val="both"/>
        <w:rPr>
          <w:rFonts w:hint="eastAsia" w:ascii="仿宋_GB2312" w:hAnsi="仿宋_GB2312" w:eastAsia="仿宋_GB2312" w:cs="仿宋_GB2312"/>
          <w:sz w:val="28"/>
          <w:szCs w:val="28"/>
        </w:rPr>
      </w:pPr>
      <w:r>
        <w:rPr>
          <w:rFonts w:hint="eastAsia" w:ascii="仿宋_GB2312" w:hAnsi="仿宋_GB2312" w:eastAsia="仿宋_GB2312" w:cs="仿宋_GB2312"/>
          <w:b w:val="0"/>
          <w:bCs w:val="0"/>
          <w:color w:val="000000"/>
          <w:spacing w:val="0"/>
          <w:w w:val="100"/>
          <w:position w:val="0"/>
          <w:sz w:val="28"/>
          <w:szCs w:val="28"/>
        </w:rPr>
        <w:t>武安市地处河北省邯郸市西北部的太行山区，太行山东麓，晋、冀、鲁、豫四省交界地带，为邯郸市辖区中唯一的县级市。它东邻邯郸县、永年县，南连邯郸市峰峰矿区、磁县，西接武安、山西省，北与邢台县、沙河市相连。东西宽</w:t>
      </w:r>
      <w:r>
        <w:rPr>
          <w:rFonts w:hint="eastAsia" w:ascii="仿宋_GB2312" w:hAnsi="仿宋_GB2312" w:eastAsia="仿宋_GB2312" w:cs="仿宋_GB2312"/>
          <w:b w:val="0"/>
          <w:bCs w:val="0"/>
          <w:color w:val="000000"/>
          <w:spacing w:val="0"/>
          <w:w w:val="100"/>
          <w:position w:val="0"/>
          <w:sz w:val="28"/>
          <w:szCs w:val="28"/>
          <w:lang w:val="en-US" w:eastAsia="en-US" w:bidi="en-US"/>
        </w:rPr>
        <w:t>55.</w:t>
      </w:r>
      <w:r>
        <w:rPr>
          <w:rFonts w:hint="eastAsia" w:ascii="仿宋_GB2312" w:hAnsi="仿宋_GB2312" w:eastAsia="仿宋_GB2312" w:cs="仿宋_GB2312"/>
          <w:b w:val="0"/>
          <w:bCs w:val="0"/>
          <w:color w:val="000000"/>
          <w:spacing w:val="0"/>
          <w:w w:val="100"/>
          <w:position w:val="0"/>
          <w:sz w:val="28"/>
          <w:szCs w:val="28"/>
        </w:rPr>
        <w:t>5公里，南北长</w:t>
      </w:r>
      <w:r>
        <w:rPr>
          <w:rFonts w:hint="eastAsia" w:ascii="仿宋_GB2312" w:hAnsi="仿宋_GB2312" w:eastAsia="仿宋_GB2312" w:cs="仿宋_GB2312"/>
          <w:b w:val="0"/>
          <w:bCs w:val="0"/>
          <w:color w:val="000000"/>
          <w:spacing w:val="0"/>
          <w:w w:val="100"/>
          <w:position w:val="0"/>
          <w:sz w:val="28"/>
          <w:szCs w:val="28"/>
          <w:lang w:val="en-US" w:eastAsia="en-US" w:bidi="en-US"/>
        </w:rPr>
        <w:t>60.5</w:t>
      </w:r>
      <w:r>
        <w:rPr>
          <w:rFonts w:hint="eastAsia" w:ascii="仿宋_GB2312" w:hAnsi="仿宋_GB2312" w:eastAsia="仿宋_GB2312" w:cs="仿宋_GB2312"/>
          <w:b w:val="0"/>
          <w:bCs w:val="0"/>
          <w:color w:val="000000"/>
          <w:spacing w:val="0"/>
          <w:w w:val="100"/>
          <w:position w:val="0"/>
          <w:sz w:val="28"/>
          <w:szCs w:val="28"/>
        </w:rPr>
        <w:t>公里，全市总面积1818平方公里。市区位于市域东南部，东距邯郸市京广铁路站</w:t>
      </w:r>
      <w:r>
        <w:rPr>
          <w:rFonts w:hint="eastAsia" w:ascii="仿宋_GB2312" w:hAnsi="仿宋_GB2312" w:eastAsia="仿宋_GB2312" w:cs="仿宋_GB2312"/>
          <w:b w:val="0"/>
          <w:bCs w:val="0"/>
          <w:color w:val="000000"/>
          <w:spacing w:val="0"/>
          <w:w w:val="100"/>
          <w:position w:val="0"/>
          <w:sz w:val="28"/>
          <w:szCs w:val="28"/>
          <w:lang w:val="en-US" w:eastAsia="en-US" w:bidi="en-US"/>
        </w:rPr>
        <w:t>26.</w:t>
      </w:r>
      <w:r>
        <w:rPr>
          <w:rFonts w:hint="eastAsia" w:ascii="仿宋_GB2312" w:hAnsi="仿宋_GB2312" w:eastAsia="仿宋_GB2312" w:cs="仿宋_GB2312"/>
          <w:b w:val="0"/>
          <w:bCs w:val="0"/>
          <w:color w:val="000000"/>
          <w:spacing w:val="0"/>
          <w:w w:val="100"/>
          <w:position w:val="0"/>
          <w:sz w:val="28"/>
          <w:szCs w:val="28"/>
        </w:rPr>
        <w:t>5公里，东北距省会石家庄150公里、距北京400公里。</w:t>
      </w:r>
    </w:p>
    <w:p>
      <w:pPr>
        <w:pStyle w:val="77"/>
        <w:keepNext w:val="0"/>
        <w:keepLines w:val="0"/>
        <w:widowControl w:val="0"/>
        <w:shd w:val="clear" w:color="auto" w:fill="auto"/>
        <w:bidi w:val="0"/>
        <w:spacing w:before="0" w:after="0" w:line="623" w:lineRule="exact"/>
        <w:ind w:left="0" w:right="0" w:firstLine="600"/>
        <w:jc w:val="both"/>
        <w:rPr>
          <w:rFonts w:hint="eastAsia" w:ascii="仿宋_GB2312" w:hAnsi="仿宋_GB2312" w:eastAsia="仿宋_GB2312" w:cs="仿宋_GB2312"/>
          <w:sz w:val="28"/>
          <w:szCs w:val="28"/>
        </w:rPr>
      </w:pPr>
      <w:r>
        <w:rPr>
          <w:rFonts w:hint="eastAsia" w:ascii="仿宋_GB2312" w:hAnsi="仿宋_GB2312" w:eastAsia="仿宋_GB2312" w:cs="仿宋_GB2312"/>
          <w:b w:val="0"/>
          <w:bCs w:val="0"/>
          <w:color w:val="000000"/>
          <w:spacing w:val="0"/>
          <w:w w:val="100"/>
          <w:position w:val="0"/>
          <w:sz w:val="28"/>
          <w:szCs w:val="28"/>
        </w:rPr>
        <w:t>青兰高速公路、邯武快速路、309国道、邯长铁路将武安市与邯郸市区相连，且309国道和邯长铁路贯穿了武安市域东西，成为武安市重要的交通经济走廊。平涉公路、邢峰公路分别从市域西部和中部纵向穿过。除西北部因受山区地形影响，个别村庄交通条件仍需改善外,其余地区交通便捷，为武安市经济发展创造了较好的交通条件。</w:t>
      </w:r>
    </w:p>
    <w:p>
      <w:pPr>
        <w:pStyle w:val="77"/>
        <w:keepNext w:val="0"/>
        <w:keepLines w:val="0"/>
        <w:widowControl w:val="0"/>
        <w:shd w:val="clear" w:color="auto" w:fill="auto"/>
        <w:bidi w:val="0"/>
        <w:spacing w:before="0" w:after="0" w:line="623" w:lineRule="exact"/>
        <w:ind w:left="0" w:right="0" w:firstLine="600"/>
        <w:jc w:val="both"/>
        <w:rPr>
          <w:rFonts w:hint="eastAsia" w:ascii="仿宋_GB2312" w:hAnsi="仿宋_GB2312" w:eastAsia="仿宋_GB2312" w:cs="仿宋_GB2312"/>
          <w:sz w:val="28"/>
          <w:szCs w:val="28"/>
        </w:rPr>
      </w:pPr>
      <w:r>
        <w:rPr>
          <w:rFonts w:hint="eastAsia" w:ascii="仿宋_GB2312" w:hAnsi="仿宋_GB2312" w:eastAsia="仿宋_GB2312" w:cs="仿宋_GB2312"/>
          <w:b w:val="0"/>
          <w:bCs w:val="0"/>
          <w:color w:val="000000"/>
          <w:spacing w:val="0"/>
          <w:w w:val="100"/>
          <w:position w:val="0"/>
          <w:sz w:val="28"/>
          <w:szCs w:val="28"/>
        </w:rPr>
        <w:t>武安市国民经济主要指标位于全省前列，尤其在邯郸市各项指标均名列前茅，说明经济整体实力高，属于河北省、邯郸市的经济发达地区。</w:t>
      </w:r>
    </w:p>
    <w:p>
      <w:pPr>
        <w:pStyle w:val="77"/>
        <w:keepNext w:val="0"/>
        <w:keepLines w:val="0"/>
        <w:widowControl w:val="0"/>
        <w:shd w:val="clear" w:color="auto" w:fill="auto"/>
        <w:bidi w:val="0"/>
        <w:spacing w:before="0" w:after="0" w:line="623" w:lineRule="exact"/>
        <w:ind w:left="0" w:right="0" w:firstLine="600"/>
        <w:jc w:val="both"/>
        <w:rPr>
          <w:rFonts w:hint="eastAsia" w:ascii="仿宋_GB2312" w:hAnsi="仿宋_GB2312" w:eastAsia="仿宋_GB2312" w:cs="仿宋_GB2312"/>
          <w:sz w:val="28"/>
          <w:szCs w:val="28"/>
        </w:rPr>
      </w:pPr>
      <w:r>
        <w:rPr>
          <w:rFonts w:hint="eastAsia" w:ascii="仿宋_GB2312" w:hAnsi="仿宋_GB2312" w:eastAsia="仿宋_GB2312" w:cs="仿宋_GB2312"/>
          <w:b w:val="0"/>
          <w:bCs w:val="0"/>
          <w:color w:val="000000"/>
          <w:spacing w:val="0"/>
          <w:w w:val="100"/>
          <w:position w:val="0"/>
          <w:sz w:val="28"/>
          <w:szCs w:val="28"/>
        </w:rPr>
        <w:t>武安综合经济实力在2003年就跨进全省</w:t>
      </w:r>
      <w:r>
        <w:rPr>
          <w:rFonts w:hint="eastAsia" w:ascii="仿宋_GB2312" w:hAnsi="仿宋_GB2312" w:eastAsia="仿宋_GB2312" w:cs="仿宋_GB2312"/>
          <w:b w:val="0"/>
          <w:bCs w:val="0"/>
          <w:color w:val="000000"/>
          <w:spacing w:val="0"/>
          <w:w w:val="100"/>
          <w:position w:val="0"/>
          <w:sz w:val="28"/>
          <w:szCs w:val="28"/>
          <w:lang w:val="zh-CN" w:eastAsia="zh-CN" w:bidi="zh-CN"/>
        </w:rPr>
        <w:t>“十</w:t>
      </w:r>
      <w:r>
        <w:rPr>
          <w:rFonts w:hint="eastAsia" w:ascii="仿宋_GB2312" w:hAnsi="仿宋_GB2312" w:eastAsia="仿宋_GB2312" w:cs="仿宋_GB2312"/>
          <w:b w:val="0"/>
          <w:bCs w:val="0"/>
          <w:color w:val="000000"/>
          <w:spacing w:val="0"/>
          <w:w w:val="100"/>
          <w:position w:val="0"/>
          <w:sz w:val="28"/>
          <w:szCs w:val="28"/>
        </w:rPr>
        <w:t>强”，2009年位居全国县域经济百强第51位，在晋冀鲁豫四省交界区县域经济中居第一位。资源已探明矿产5大类、23个矿种。其中煤、铁、石灰岩、非金属资源尤为丰富，铁矿石储量</w:t>
      </w:r>
      <w:r>
        <w:rPr>
          <w:rFonts w:hint="eastAsia" w:ascii="仿宋_GB2312" w:hAnsi="仿宋_GB2312" w:eastAsia="仿宋_GB2312" w:cs="仿宋_GB2312"/>
          <w:b w:val="0"/>
          <w:bCs w:val="0"/>
          <w:color w:val="000000"/>
          <w:spacing w:val="0"/>
          <w:w w:val="100"/>
          <w:position w:val="0"/>
          <w:sz w:val="28"/>
          <w:szCs w:val="28"/>
          <w:lang w:val="en-US" w:eastAsia="en-US" w:bidi="en-US"/>
        </w:rPr>
        <w:t>5.5</w:t>
      </w:r>
      <w:r>
        <w:rPr>
          <w:rFonts w:hint="eastAsia" w:ascii="仿宋_GB2312" w:hAnsi="仿宋_GB2312" w:eastAsia="仿宋_GB2312" w:cs="仿宋_GB2312"/>
          <w:b w:val="0"/>
          <w:bCs w:val="0"/>
          <w:color w:val="000000"/>
          <w:spacing w:val="0"/>
          <w:w w:val="100"/>
          <w:position w:val="0"/>
          <w:sz w:val="28"/>
          <w:szCs w:val="28"/>
        </w:rPr>
        <w:t>亿吨，是全国四大富矿基地之一，</w:t>
      </w:r>
    </w:p>
    <w:p>
      <w:pPr>
        <w:pStyle w:val="77"/>
        <w:keepNext w:val="0"/>
        <w:keepLines w:val="0"/>
        <w:widowControl w:val="0"/>
        <w:shd w:val="clear" w:color="auto" w:fill="auto"/>
        <w:bidi w:val="0"/>
        <w:spacing w:before="0" w:after="0" w:line="623" w:lineRule="exact"/>
        <w:ind w:left="0" w:right="0" w:firstLine="600"/>
        <w:jc w:val="both"/>
        <w:rPr>
          <w:rFonts w:hint="eastAsia" w:ascii="仿宋_GB2312" w:hAnsi="仿宋_GB2312" w:eastAsia="仿宋_GB2312" w:cs="仿宋_GB2312"/>
          <w:sz w:val="28"/>
          <w:szCs w:val="28"/>
        </w:rPr>
      </w:pPr>
      <w:r>
        <w:rPr>
          <w:rFonts w:hint="eastAsia" w:ascii="仿宋_GB2312" w:hAnsi="仿宋_GB2312" w:eastAsia="仿宋_GB2312" w:cs="仿宋_GB2312"/>
          <w:b w:val="0"/>
          <w:bCs w:val="0"/>
          <w:color w:val="000000"/>
          <w:spacing w:val="0"/>
          <w:w w:val="100"/>
          <w:position w:val="0"/>
          <w:sz w:val="28"/>
          <w:szCs w:val="28"/>
        </w:rPr>
        <w:t>郭沫若曾经有诗赞叹：</w:t>
      </w:r>
      <w:r>
        <w:rPr>
          <w:rFonts w:hint="eastAsia" w:ascii="仿宋_GB2312" w:hAnsi="仿宋_GB2312" w:eastAsia="仿宋_GB2312" w:cs="仿宋_GB2312"/>
          <w:b w:val="0"/>
          <w:bCs w:val="0"/>
          <w:color w:val="000000"/>
          <w:spacing w:val="0"/>
          <w:w w:val="100"/>
          <w:position w:val="0"/>
          <w:sz w:val="28"/>
          <w:szCs w:val="28"/>
          <w:lang w:val="zh-CN" w:eastAsia="zh-CN" w:bidi="zh-CN"/>
        </w:rPr>
        <w:t>“武</w:t>
      </w:r>
      <w:r>
        <w:rPr>
          <w:rFonts w:hint="eastAsia" w:ascii="仿宋_GB2312" w:hAnsi="仿宋_GB2312" w:eastAsia="仿宋_GB2312" w:cs="仿宋_GB2312"/>
          <w:b w:val="0"/>
          <w:bCs w:val="0"/>
          <w:color w:val="000000"/>
          <w:spacing w:val="0"/>
          <w:w w:val="100"/>
          <w:position w:val="0"/>
          <w:sz w:val="28"/>
          <w:szCs w:val="28"/>
        </w:rPr>
        <w:t>安铁矿峰峰煤”。同时，武安的煤炭总储量达23亿吨、石灰岩总量达70多亿吨。自然风光秀丽。工业经济已形成冶金、煤炭、建材、机械、电力、轻工、化工、食品等8个行业20多门类800多种产品。农业经济增长较快，初步形成了生猪、干果、食用菌等农业特色产业。</w:t>
      </w:r>
    </w:p>
    <w:p>
      <w:pPr>
        <w:pStyle w:val="77"/>
        <w:keepNext w:val="0"/>
        <w:keepLines w:val="0"/>
        <w:widowControl w:val="0"/>
        <w:shd w:val="clear" w:color="auto" w:fill="auto"/>
        <w:bidi w:val="0"/>
        <w:spacing w:before="0" w:after="0" w:line="638" w:lineRule="exact"/>
        <w:ind w:left="0" w:right="0" w:firstLine="600"/>
        <w:jc w:val="both"/>
        <w:rPr>
          <w:rFonts w:hint="eastAsia" w:ascii="仿宋_GB2312" w:hAnsi="仿宋_GB2312" w:eastAsia="仿宋_GB2312" w:cs="仿宋_GB2312"/>
          <w:sz w:val="28"/>
          <w:szCs w:val="28"/>
        </w:rPr>
      </w:pPr>
      <w:r>
        <w:rPr>
          <w:rFonts w:hint="eastAsia" w:ascii="仿宋_GB2312" w:hAnsi="仿宋_GB2312" w:eastAsia="仿宋_GB2312" w:cs="仿宋_GB2312"/>
          <w:b w:val="0"/>
          <w:bCs w:val="0"/>
          <w:color w:val="000000"/>
          <w:spacing w:val="0"/>
          <w:w w:val="100"/>
          <w:position w:val="0"/>
          <w:sz w:val="28"/>
          <w:szCs w:val="28"/>
        </w:rPr>
        <w:t>2018年实现地方生产总值</w:t>
      </w:r>
      <w:r>
        <w:rPr>
          <w:rFonts w:hint="eastAsia" w:ascii="仿宋_GB2312" w:hAnsi="仿宋_GB2312" w:eastAsia="仿宋_GB2312" w:cs="仿宋_GB2312"/>
          <w:b w:val="0"/>
          <w:bCs w:val="0"/>
          <w:color w:val="000000"/>
          <w:spacing w:val="0"/>
          <w:w w:val="100"/>
          <w:position w:val="0"/>
          <w:sz w:val="28"/>
          <w:szCs w:val="28"/>
          <w:lang w:val="en-US" w:eastAsia="en-US" w:bidi="en-US"/>
        </w:rPr>
        <w:t>675.</w:t>
      </w:r>
      <w:r>
        <w:rPr>
          <w:rFonts w:hint="eastAsia" w:ascii="仿宋_GB2312" w:hAnsi="仿宋_GB2312" w:eastAsia="仿宋_GB2312" w:cs="仿宋_GB2312"/>
          <w:b w:val="0"/>
          <w:bCs w:val="0"/>
          <w:color w:val="000000"/>
          <w:spacing w:val="0"/>
          <w:w w:val="100"/>
          <w:position w:val="0"/>
          <w:sz w:val="28"/>
          <w:szCs w:val="28"/>
        </w:rPr>
        <w:t>6亿元，一般公共预算收入</w:t>
      </w:r>
      <w:r>
        <w:rPr>
          <w:rFonts w:hint="eastAsia" w:ascii="仿宋_GB2312" w:hAnsi="仿宋_GB2312" w:eastAsia="仿宋_GB2312" w:cs="仿宋_GB2312"/>
          <w:b w:val="0"/>
          <w:bCs w:val="0"/>
          <w:color w:val="000000"/>
          <w:spacing w:val="0"/>
          <w:w w:val="100"/>
          <w:position w:val="0"/>
          <w:sz w:val="28"/>
          <w:szCs w:val="28"/>
          <w:lang w:val="en-US" w:eastAsia="en-US" w:bidi="en-US"/>
        </w:rPr>
        <w:t>45.51</w:t>
      </w:r>
      <w:r>
        <w:rPr>
          <w:rFonts w:hint="eastAsia" w:ascii="仿宋_GB2312" w:hAnsi="仿宋_GB2312" w:eastAsia="仿宋_GB2312" w:cs="仿宋_GB2312"/>
          <w:b w:val="0"/>
          <w:bCs w:val="0"/>
          <w:color w:val="000000"/>
          <w:spacing w:val="0"/>
          <w:w w:val="100"/>
          <w:position w:val="0"/>
          <w:sz w:val="28"/>
          <w:szCs w:val="28"/>
        </w:rPr>
        <w:t>亿元，社会消费品零售总额180亿元，全社会固定资产投资</w:t>
      </w:r>
      <w:r>
        <w:rPr>
          <w:rFonts w:hint="eastAsia" w:ascii="仿宋_GB2312" w:hAnsi="仿宋_GB2312" w:eastAsia="仿宋_GB2312" w:cs="仿宋_GB2312"/>
          <w:b w:val="0"/>
          <w:bCs w:val="0"/>
          <w:color w:val="000000"/>
          <w:spacing w:val="0"/>
          <w:w w:val="100"/>
          <w:position w:val="0"/>
          <w:sz w:val="28"/>
          <w:szCs w:val="28"/>
          <w:lang w:val="en-US" w:eastAsia="en-US" w:bidi="en-US"/>
        </w:rPr>
        <w:t>241.7</w:t>
      </w:r>
      <w:r>
        <w:rPr>
          <w:rFonts w:hint="eastAsia" w:ascii="仿宋_GB2312" w:hAnsi="仿宋_GB2312" w:eastAsia="仿宋_GB2312" w:cs="仿宋_GB2312"/>
          <w:b w:val="0"/>
          <w:bCs w:val="0"/>
          <w:color w:val="000000"/>
          <w:spacing w:val="0"/>
          <w:w w:val="100"/>
          <w:position w:val="0"/>
          <w:sz w:val="28"/>
          <w:szCs w:val="28"/>
        </w:rPr>
        <w:t>亿元。</w:t>
      </w:r>
    </w:p>
    <w:p>
      <w:pPr>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 w:val="0"/>
          <w:bCs w:val="0"/>
          <w:color w:val="000000"/>
          <w:spacing w:val="0"/>
          <w:w w:val="100"/>
          <w:position w:val="0"/>
          <w:sz w:val="28"/>
          <w:szCs w:val="28"/>
        </w:rPr>
        <w:t>2016-2018年，武安市分别实现一般公共预算收入</w:t>
      </w:r>
      <w:r>
        <w:rPr>
          <w:rFonts w:hint="eastAsia" w:ascii="仿宋_GB2312" w:hAnsi="仿宋_GB2312" w:eastAsia="仿宋_GB2312" w:cs="仿宋_GB2312"/>
          <w:b w:val="0"/>
          <w:bCs w:val="0"/>
          <w:color w:val="000000"/>
          <w:spacing w:val="0"/>
          <w:w w:val="100"/>
          <w:position w:val="0"/>
          <w:sz w:val="28"/>
          <w:szCs w:val="28"/>
          <w:lang w:val="en-US" w:eastAsia="en-US" w:bidi="en-US"/>
        </w:rPr>
        <w:t>37.</w:t>
      </w:r>
      <w:r>
        <w:rPr>
          <w:rFonts w:hint="eastAsia" w:ascii="仿宋_GB2312" w:hAnsi="仿宋_GB2312" w:eastAsia="仿宋_GB2312" w:cs="仿宋_GB2312"/>
          <w:b w:val="0"/>
          <w:bCs w:val="0"/>
          <w:color w:val="000000"/>
          <w:spacing w:val="0"/>
          <w:w w:val="100"/>
          <w:position w:val="0"/>
          <w:sz w:val="28"/>
          <w:szCs w:val="28"/>
        </w:rPr>
        <w:t>31亿元、</w:t>
      </w:r>
      <w:r>
        <w:rPr>
          <w:rFonts w:hint="eastAsia" w:ascii="仿宋_GB2312" w:hAnsi="仿宋_GB2312" w:eastAsia="仿宋_GB2312" w:cs="仿宋_GB2312"/>
          <w:b w:val="0"/>
          <w:bCs w:val="0"/>
          <w:color w:val="000000"/>
          <w:spacing w:val="0"/>
          <w:w w:val="100"/>
          <w:position w:val="0"/>
          <w:sz w:val="28"/>
          <w:szCs w:val="28"/>
          <w:lang w:val="en-US" w:eastAsia="en-US" w:bidi="en-US"/>
        </w:rPr>
        <w:t>41.</w:t>
      </w:r>
      <w:r>
        <w:rPr>
          <w:rFonts w:hint="eastAsia" w:ascii="仿宋_GB2312" w:hAnsi="仿宋_GB2312" w:eastAsia="仿宋_GB2312" w:cs="仿宋_GB2312"/>
          <w:b w:val="0"/>
          <w:bCs w:val="0"/>
          <w:color w:val="000000"/>
          <w:spacing w:val="0"/>
          <w:w w:val="100"/>
          <w:position w:val="0"/>
          <w:sz w:val="28"/>
          <w:szCs w:val="28"/>
        </w:rPr>
        <w:t>60亿元和</w:t>
      </w:r>
      <w:r>
        <w:rPr>
          <w:rFonts w:hint="eastAsia" w:ascii="仿宋_GB2312" w:hAnsi="仿宋_GB2312" w:eastAsia="仿宋_GB2312" w:cs="仿宋_GB2312"/>
          <w:b w:val="0"/>
          <w:bCs w:val="0"/>
          <w:color w:val="000000"/>
          <w:spacing w:val="0"/>
          <w:w w:val="100"/>
          <w:position w:val="0"/>
          <w:sz w:val="28"/>
          <w:szCs w:val="28"/>
          <w:lang w:val="en-US" w:eastAsia="en-US" w:bidi="en-US"/>
        </w:rPr>
        <w:t>45.</w:t>
      </w:r>
      <w:r>
        <w:rPr>
          <w:rFonts w:hint="eastAsia" w:ascii="仿宋_GB2312" w:hAnsi="仿宋_GB2312" w:eastAsia="仿宋_GB2312" w:cs="仿宋_GB2312"/>
          <w:b w:val="0"/>
          <w:bCs w:val="0"/>
          <w:color w:val="000000"/>
          <w:spacing w:val="0"/>
          <w:w w:val="100"/>
          <w:position w:val="0"/>
          <w:sz w:val="28"/>
          <w:szCs w:val="28"/>
        </w:rPr>
        <w:t>51亿元,政府性基金预算收入分别为</w:t>
      </w:r>
      <w:r>
        <w:rPr>
          <w:rFonts w:hint="eastAsia" w:ascii="仿宋_GB2312" w:hAnsi="仿宋_GB2312" w:eastAsia="仿宋_GB2312" w:cs="仿宋_GB2312"/>
          <w:b w:val="0"/>
          <w:bCs w:val="0"/>
          <w:color w:val="000000"/>
          <w:spacing w:val="0"/>
          <w:w w:val="100"/>
          <w:position w:val="0"/>
          <w:sz w:val="28"/>
          <w:szCs w:val="28"/>
          <w:lang w:val="en-US" w:eastAsia="en-US" w:bidi="en-US"/>
        </w:rPr>
        <w:t>6.</w:t>
      </w:r>
      <w:r>
        <w:rPr>
          <w:rFonts w:hint="eastAsia" w:ascii="仿宋_GB2312" w:hAnsi="仿宋_GB2312" w:eastAsia="仿宋_GB2312" w:cs="仿宋_GB2312"/>
          <w:b w:val="0"/>
          <w:bCs w:val="0"/>
          <w:color w:val="000000"/>
          <w:spacing w:val="0"/>
          <w:w w:val="100"/>
          <w:position w:val="0"/>
          <w:sz w:val="28"/>
          <w:szCs w:val="28"/>
        </w:rPr>
        <w:t>69亿元、</w:t>
      </w:r>
      <w:r>
        <w:rPr>
          <w:rFonts w:hint="eastAsia" w:ascii="仿宋_GB2312" w:hAnsi="仿宋_GB2312" w:eastAsia="仿宋_GB2312" w:cs="仿宋_GB2312"/>
          <w:b w:val="0"/>
          <w:bCs w:val="0"/>
          <w:color w:val="000000"/>
          <w:spacing w:val="0"/>
          <w:w w:val="100"/>
          <w:position w:val="0"/>
          <w:sz w:val="28"/>
          <w:szCs w:val="28"/>
          <w:lang w:val="en-US" w:eastAsia="en-US" w:bidi="en-US"/>
        </w:rPr>
        <w:t>0.</w:t>
      </w:r>
      <w:r>
        <w:rPr>
          <w:rFonts w:hint="eastAsia" w:ascii="仿宋_GB2312" w:hAnsi="仿宋_GB2312" w:eastAsia="仿宋_GB2312" w:cs="仿宋_GB2312"/>
          <w:b w:val="0"/>
          <w:bCs w:val="0"/>
          <w:color w:val="000000"/>
          <w:spacing w:val="0"/>
          <w:w w:val="100"/>
          <w:position w:val="0"/>
          <w:sz w:val="28"/>
          <w:szCs w:val="28"/>
        </w:rPr>
        <w:t>74亿元和</w:t>
      </w:r>
      <w:r>
        <w:rPr>
          <w:rFonts w:hint="eastAsia" w:ascii="仿宋_GB2312" w:hAnsi="仿宋_GB2312" w:eastAsia="仿宋_GB2312" w:cs="仿宋_GB2312"/>
          <w:b w:val="0"/>
          <w:bCs w:val="0"/>
          <w:color w:val="000000"/>
          <w:spacing w:val="0"/>
          <w:w w:val="100"/>
          <w:position w:val="0"/>
          <w:sz w:val="28"/>
          <w:szCs w:val="28"/>
          <w:lang w:val="en-US" w:eastAsia="en-US" w:bidi="en-US"/>
        </w:rPr>
        <w:t>4.42</w:t>
      </w:r>
      <w:r>
        <w:rPr>
          <w:rFonts w:hint="eastAsia" w:ascii="仿宋_GB2312" w:hAnsi="仿宋_GB2312" w:eastAsia="仿宋_GB2312" w:cs="仿宋_GB2312"/>
          <w:b w:val="0"/>
          <w:bCs w:val="0"/>
          <w:color w:val="000000"/>
          <w:spacing w:val="0"/>
          <w:w w:val="100"/>
          <w:position w:val="0"/>
          <w:sz w:val="28"/>
          <w:szCs w:val="28"/>
        </w:rPr>
        <w:t>亿元，受土地出让收入增长带动，政府性基金收入逐年上升。</w:t>
      </w:r>
    </w:p>
    <w:p>
      <w:pPr>
        <w:spacing w:line="600" w:lineRule="exact"/>
        <w:jc w:val="center"/>
        <w:rPr>
          <w:rFonts w:hint="eastAsia" w:ascii="仿宋_GB2312" w:hAnsi="仿宋_GB2312" w:eastAsia="仿宋_GB2312" w:cs="仿宋_GB2312"/>
          <w:b/>
          <w:sz w:val="28"/>
          <w:szCs w:val="28"/>
        </w:rPr>
      </w:pPr>
    </w:p>
    <w:p>
      <w:pPr>
        <w:ind w:firstLine="562" w:firstLineChars="200"/>
        <w:outlineLvl w:val="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三</w:t>
      </w:r>
      <w:r>
        <w:rPr>
          <w:rFonts w:hint="eastAsia" w:ascii="仿宋_GB2312" w:hAnsi="仿宋_GB2312" w:eastAsia="仿宋_GB2312" w:cs="仿宋_GB2312"/>
          <w:b/>
          <w:bCs/>
          <w:sz w:val="28"/>
          <w:szCs w:val="28"/>
        </w:rPr>
        <w:t>、项目基本情况</w:t>
      </w:r>
    </w:p>
    <w:p>
      <w:pPr>
        <w:ind w:firstLine="560" w:firstLineChars="200"/>
        <w:outlineLvl w:val="1"/>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（一）项目概况</w:t>
      </w:r>
    </w:p>
    <w:p>
      <w:pPr>
        <w:ind w:firstLine="560" w:firstLineChars="200"/>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1、项目名称：</w:t>
      </w:r>
      <w:r>
        <w:rPr>
          <w:rFonts w:hint="eastAsia" w:ascii="仿宋_GB2312" w:hAnsi="仿宋_GB2312" w:eastAsia="仿宋_GB2312" w:cs="仿宋_GB2312"/>
          <w:color w:val="auto"/>
          <w:sz w:val="28"/>
          <w:szCs w:val="28"/>
          <w:lang w:eastAsia="zh-CN"/>
        </w:rPr>
        <w:t>武安工业园区产城融合示范区基础设施建设项目(二期)</w:t>
      </w:r>
    </w:p>
    <w:p>
      <w:pPr>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2、建设地点：</w:t>
      </w:r>
      <w:r>
        <w:rPr>
          <w:rFonts w:hint="eastAsia" w:ascii="仿宋_GB2312" w:hAnsi="仿宋_GB2312" w:eastAsia="仿宋_GB2312" w:cs="仿宋_GB2312"/>
          <w:sz w:val="28"/>
          <w:szCs w:val="28"/>
        </w:rPr>
        <w:t>本项目位于河北武安工业园区内。</w:t>
      </w:r>
    </w:p>
    <w:p>
      <w:pPr>
        <w:ind w:firstLine="560" w:firstLineChars="200"/>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rPr>
        <w:t>、建设期限：</w:t>
      </w:r>
      <w:r>
        <w:rPr>
          <w:rFonts w:hint="eastAsia" w:ascii="仿宋_GB2312" w:hAnsi="仿宋_GB2312" w:eastAsia="仿宋_GB2312" w:cs="仿宋_GB2312"/>
          <w:sz w:val="28"/>
          <w:szCs w:val="28"/>
        </w:rPr>
        <w:t>本项目建设周期拟定24个月，自2022年8月至2024年7月。</w:t>
      </w:r>
    </w:p>
    <w:p>
      <w:pPr>
        <w:ind w:firstLine="560" w:firstLineChars="200"/>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rPr>
        <w:t>、实施单位：</w:t>
      </w:r>
      <w:r>
        <w:rPr>
          <w:rFonts w:hint="eastAsia" w:ascii="仿宋_GB2312" w:hAnsi="仿宋_GB2312" w:eastAsia="仿宋_GB2312" w:cs="仿宋_GB2312"/>
          <w:color w:val="auto"/>
          <w:sz w:val="28"/>
          <w:szCs w:val="28"/>
          <w:lang w:eastAsia="zh-CN"/>
        </w:rPr>
        <w:t>河北武安工业园区管理委员会</w:t>
      </w:r>
    </w:p>
    <w:p>
      <w:pPr>
        <w:ind w:firstLine="560" w:firstLineChars="200"/>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、建设内容及规</w:t>
      </w:r>
      <w:r>
        <w:rPr>
          <w:rFonts w:hint="eastAsia" w:ascii="仿宋_GB2312" w:hAnsi="仿宋_GB2312" w:eastAsia="仿宋_GB2312" w:cs="仿宋_GB2312"/>
          <w:color w:val="000000"/>
          <w:sz w:val="28"/>
          <w:szCs w:val="28"/>
          <w:lang w:val="en-US" w:eastAsia="zh-CN"/>
        </w:rPr>
        <w:t>模：</w:t>
      </w:r>
      <w:r>
        <w:rPr>
          <w:rFonts w:hint="eastAsia" w:ascii="仿宋_GB2312" w:hAnsi="仿宋_GB2312" w:eastAsia="仿宋_GB2312" w:cs="仿宋_GB2312"/>
          <w:sz w:val="28"/>
          <w:szCs w:val="28"/>
        </w:rPr>
        <w:t>武安工业园区产城融合示范区基础设施建设项目(二期)为产城融合示范区与主城区连接主干道，起点为武安市东环路，终点为曹公大街，道路全长1626.15m,道路控制红线宽度 55m，主要建设内容包含道路及给排水、供热、燃气、电力及附属工程等。</w:t>
      </w:r>
    </w:p>
    <w:p>
      <w:pPr>
        <w:ind w:firstLine="560" w:firstLineChars="200"/>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6、项目进展情况：项目已完成前期准备工作。项目可行性研究报告已批复。</w:t>
      </w:r>
    </w:p>
    <w:p>
      <w:pPr>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highlight w:val="none"/>
          <w:lang w:val="en-US" w:eastAsia="zh-CN"/>
        </w:rPr>
        <w:t>7、项目审批：</w:t>
      </w:r>
      <w:r>
        <w:rPr>
          <w:rFonts w:hint="eastAsia" w:ascii="仿宋_GB2312" w:hAnsi="仿宋_GB2312" w:eastAsia="仿宋_GB2312" w:cs="仿宋_GB2312"/>
          <w:color w:val="000000"/>
          <w:sz w:val="28"/>
          <w:szCs w:val="28"/>
          <w:highlight w:val="none"/>
        </w:rPr>
        <w:t>202</w:t>
      </w:r>
      <w:r>
        <w:rPr>
          <w:rFonts w:hint="eastAsia" w:ascii="仿宋_GB2312" w:hAnsi="仿宋_GB2312" w:eastAsia="仿宋_GB2312" w:cs="仿宋_GB2312"/>
          <w:color w:val="000000"/>
          <w:sz w:val="28"/>
          <w:szCs w:val="28"/>
          <w:highlight w:val="none"/>
          <w:lang w:val="en-US" w:eastAsia="zh-CN"/>
        </w:rPr>
        <w:t>2</w:t>
      </w:r>
      <w:r>
        <w:rPr>
          <w:rFonts w:hint="eastAsia" w:ascii="仿宋_GB2312" w:hAnsi="仿宋_GB2312" w:eastAsia="仿宋_GB2312" w:cs="仿宋_GB2312"/>
          <w:color w:val="000000"/>
          <w:sz w:val="28"/>
          <w:szCs w:val="28"/>
          <w:highlight w:val="none"/>
        </w:rPr>
        <w:t>年6月1</w:t>
      </w:r>
      <w:r>
        <w:rPr>
          <w:rFonts w:hint="eastAsia" w:ascii="仿宋_GB2312" w:hAnsi="仿宋_GB2312" w:eastAsia="仿宋_GB2312" w:cs="仿宋_GB2312"/>
          <w:color w:val="000000"/>
          <w:sz w:val="28"/>
          <w:szCs w:val="28"/>
          <w:highlight w:val="none"/>
          <w:lang w:val="en-US" w:eastAsia="zh-CN"/>
        </w:rPr>
        <w:t>1</w:t>
      </w:r>
      <w:r>
        <w:rPr>
          <w:rFonts w:hint="eastAsia" w:ascii="仿宋_GB2312" w:hAnsi="仿宋_GB2312" w:eastAsia="仿宋_GB2312" w:cs="仿宋_GB2312"/>
          <w:color w:val="000000"/>
          <w:sz w:val="28"/>
          <w:szCs w:val="28"/>
          <w:highlight w:val="none"/>
        </w:rPr>
        <w:t>日，</w:t>
      </w:r>
      <w:r>
        <w:rPr>
          <w:rFonts w:hint="eastAsia" w:ascii="仿宋_GB2312" w:hAnsi="仿宋_GB2312" w:eastAsia="仿宋_GB2312" w:cs="仿宋_GB2312"/>
          <w:color w:val="000000"/>
          <w:sz w:val="28"/>
          <w:szCs w:val="28"/>
          <w:highlight w:val="none"/>
          <w:lang w:eastAsia="zh-CN"/>
        </w:rPr>
        <w:t>武安市</w:t>
      </w:r>
      <w:r>
        <w:rPr>
          <w:rFonts w:hint="eastAsia" w:ascii="仿宋_GB2312" w:hAnsi="仿宋_GB2312" w:eastAsia="仿宋_GB2312" w:cs="仿宋_GB2312"/>
          <w:color w:val="000000"/>
          <w:sz w:val="28"/>
          <w:szCs w:val="28"/>
          <w:highlight w:val="none"/>
        </w:rPr>
        <w:t>行政审批局出具《</w:t>
      </w:r>
      <w:r>
        <w:rPr>
          <w:rFonts w:hint="eastAsia" w:ascii="仿宋_GB2312" w:hAnsi="仿宋_GB2312" w:eastAsia="仿宋_GB2312" w:cs="仿宋_GB2312"/>
          <w:color w:val="000000"/>
          <w:sz w:val="28"/>
          <w:szCs w:val="28"/>
          <w:highlight w:val="none"/>
          <w:lang w:eastAsia="zh-CN"/>
        </w:rPr>
        <w:t>武安市</w:t>
      </w:r>
      <w:r>
        <w:rPr>
          <w:rFonts w:hint="eastAsia" w:ascii="仿宋_GB2312" w:hAnsi="仿宋_GB2312" w:eastAsia="仿宋_GB2312" w:cs="仿宋_GB2312"/>
          <w:color w:val="000000"/>
          <w:sz w:val="28"/>
          <w:szCs w:val="28"/>
          <w:highlight w:val="none"/>
        </w:rPr>
        <w:t>行政审批局关于</w:t>
      </w:r>
      <w:r>
        <w:rPr>
          <w:rFonts w:hint="eastAsia" w:ascii="仿宋_GB2312" w:hAnsi="仿宋_GB2312" w:eastAsia="仿宋_GB2312" w:cs="仿宋_GB2312"/>
          <w:color w:val="000000"/>
          <w:sz w:val="28"/>
          <w:szCs w:val="28"/>
          <w:highlight w:val="none"/>
          <w:lang w:eastAsia="zh-CN"/>
        </w:rPr>
        <w:t>武安工业园区产城融合示范区基础设施建设项目(二期)</w:t>
      </w:r>
      <w:r>
        <w:rPr>
          <w:rFonts w:hint="eastAsia" w:ascii="仿宋_GB2312" w:hAnsi="仿宋_GB2312" w:eastAsia="仿宋_GB2312" w:cs="仿宋_GB2312"/>
          <w:color w:val="000000"/>
          <w:sz w:val="28"/>
          <w:szCs w:val="28"/>
          <w:highlight w:val="none"/>
        </w:rPr>
        <w:t>可行性研究报告的批复》（</w:t>
      </w:r>
      <w:r>
        <w:rPr>
          <w:rFonts w:hint="eastAsia" w:ascii="仿宋_GB2312" w:hAnsi="仿宋_GB2312" w:eastAsia="仿宋_GB2312" w:cs="仿宋_GB2312"/>
          <w:color w:val="000000"/>
          <w:sz w:val="28"/>
          <w:szCs w:val="28"/>
          <w:highlight w:val="none"/>
          <w:lang w:val="en-US" w:eastAsia="zh-CN"/>
        </w:rPr>
        <w:t>武审投批复</w:t>
      </w:r>
      <w:r>
        <w:rPr>
          <w:rFonts w:hint="eastAsia" w:ascii="仿宋_GB2312" w:hAnsi="仿宋_GB2312" w:eastAsia="仿宋_GB2312" w:cs="仿宋_GB2312"/>
          <w:color w:val="000000"/>
          <w:sz w:val="28"/>
          <w:szCs w:val="28"/>
          <w:highlight w:val="none"/>
        </w:rPr>
        <w:t>〔202</w:t>
      </w:r>
      <w:r>
        <w:rPr>
          <w:rFonts w:hint="eastAsia" w:ascii="仿宋_GB2312" w:hAnsi="仿宋_GB2312" w:eastAsia="仿宋_GB2312" w:cs="仿宋_GB2312"/>
          <w:color w:val="000000"/>
          <w:sz w:val="28"/>
          <w:szCs w:val="28"/>
          <w:highlight w:val="none"/>
          <w:lang w:val="en-US" w:eastAsia="zh-CN"/>
        </w:rPr>
        <w:t>2</w:t>
      </w:r>
      <w:r>
        <w:rPr>
          <w:rFonts w:hint="eastAsia" w:ascii="仿宋_GB2312" w:hAnsi="仿宋_GB2312" w:eastAsia="仿宋_GB2312" w:cs="仿宋_GB2312"/>
          <w:color w:val="000000"/>
          <w:sz w:val="28"/>
          <w:szCs w:val="28"/>
          <w:highlight w:val="none"/>
        </w:rPr>
        <w:t>〕</w:t>
      </w:r>
      <w:r>
        <w:rPr>
          <w:rFonts w:hint="eastAsia" w:ascii="仿宋_GB2312" w:hAnsi="仿宋_GB2312" w:eastAsia="仿宋_GB2312" w:cs="仿宋_GB2312"/>
          <w:color w:val="000000"/>
          <w:sz w:val="28"/>
          <w:szCs w:val="28"/>
          <w:highlight w:val="none"/>
          <w:lang w:val="en-US" w:eastAsia="zh-CN"/>
        </w:rPr>
        <w:t>48</w:t>
      </w:r>
      <w:r>
        <w:rPr>
          <w:rFonts w:hint="eastAsia" w:ascii="仿宋_GB2312" w:hAnsi="仿宋_GB2312" w:eastAsia="仿宋_GB2312" w:cs="仿宋_GB2312"/>
          <w:color w:val="000000"/>
          <w:sz w:val="28"/>
          <w:szCs w:val="28"/>
          <w:highlight w:val="none"/>
        </w:rPr>
        <w:t>号）。</w:t>
      </w:r>
    </w:p>
    <w:p>
      <w:pPr>
        <w:numPr>
          <w:ilvl w:val="0"/>
          <w:numId w:val="1"/>
        </w:numPr>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color w:val="auto"/>
          <w:sz w:val="28"/>
          <w:szCs w:val="28"/>
        </w:rPr>
        <w:t>项目总投资：本项目总投资为</w:t>
      </w:r>
      <w:r>
        <w:rPr>
          <w:rFonts w:hint="eastAsia" w:ascii="仿宋_GB2312" w:hAnsi="仿宋_GB2312" w:eastAsia="仿宋_GB2312" w:cs="仿宋_GB2312"/>
          <w:bCs/>
          <w:sz w:val="28"/>
          <w:szCs w:val="28"/>
          <w:lang w:val="en-US" w:eastAsia="zh-CN"/>
        </w:rPr>
        <w:t>37850</w:t>
      </w:r>
      <w:r>
        <w:rPr>
          <w:rFonts w:hint="eastAsia" w:ascii="仿宋_GB2312" w:hAnsi="仿宋_GB2312" w:eastAsia="仿宋_GB2312" w:cs="仿宋_GB2312"/>
          <w:bCs/>
          <w:sz w:val="28"/>
          <w:szCs w:val="28"/>
        </w:rPr>
        <w:t>万元</w:t>
      </w:r>
      <w:r>
        <w:rPr>
          <w:rFonts w:hint="eastAsia" w:ascii="仿宋_GB2312" w:hAnsi="仿宋_GB2312" w:eastAsia="仿宋_GB2312" w:cs="仿宋_GB2312"/>
          <w:bCs/>
          <w:sz w:val="28"/>
          <w:szCs w:val="28"/>
          <w:lang w:eastAsia="zh-CN"/>
        </w:rPr>
        <w:t>。</w:t>
      </w:r>
    </w:p>
    <w:p>
      <w:pPr>
        <w:numPr>
          <w:ilvl w:val="0"/>
          <w:numId w:val="0"/>
        </w:numPr>
        <w:ind w:firstLine="560" w:firstLineChars="200"/>
        <w:rPr>
          <w:rFonts w:hint="default" w:ascii="仿宋_GB2312" w:hAnsi="仿宋_GB2312" w:eastAsia="仿宋_GB2312" w:cs="仿宋_GB2312"/>
          <w:highlight w:val="yellow"/>
          <w:lang w:val="en-US" w:eastAsia="zh-CN"/>
        </w:rPr>
      </w:pPr>
      <w:r>
        <w:rPr>
          <w:rFonts w:hint="eastAsia" w:ascii="仿宋_GB2312" w:hAnsi="仿宋_GB2312" w:eastAsia="仿宋_GB2312" w:cs="仿宋_GB2312"/>
          <w:color w:val="auto"/>
          <w:sz w:val="28"/>
          <w:szCs w:val="28"/>
          <w:lang w:val="en-US" w:eastAsia="zh-CN"/>
        </w:rPr>
        <w:t>项目本期拟申请政府专项债券20000万元，期限10年。</w:t>
      </w:r>
    </w:p>
    <w:p>
      <w:pPr>
        <w:numPr>
          <w:ilvl w:val="0"/>
          <w:numId w:val="2"/>
        </w:numPr>
        <w:ind w:left="70" w:leftChars="0" w:firstLine="560" w:firstLineChars="0"/>
        <w:outlineLvl w:val="1"/>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项目的公益性和建设必要性</w:t>
      </w:r>
    </w:p>
    <w:p>
      <w:pPr>
        <w:spacing w:line="360" w:lineRule="auto"/>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1、项目的公益性</w:t>
      </w:r>
    </w:p>
    <w:p>
      <w:pPr>
        <w:pStyle w:val="12"/>
        <w:spacing w:line="480" w:lineRule="auto"/>
        <w:ind w:firstLine="560"/>
        <w:jc w:val="both"/>
        <w:rPr>
          <w:rFonts w:hint="eastAsia" w:ascii="仿宋_GB2312" w:hAnsi="仿宋_GB2312" w:eastAsia="仿宋_GB2312" w:cs="仿宋_GB2312"/>
          <w:b w:val="0"/>
          <w:szCs w:val="28"/>
          <w:lang w:val="zh-TW" w:eastAsia="zh-TW"/>
        </w:rPr>
      </w:pPr>
      <w:r>
        <w:rPr>
          <w:rFonts w:hint="eastAsia" w:ascii="仿宋_GB2312" w:hAnsi="仿宋_GB2312" w:eastAsia="仿宋_GB2312" w:cs="仿宋_GB2312"/>
          <w:b w:val="0"/>
          <w:szCs w:val="28"/>
          <w:lang w:val="zh-TW" w:eastAsia="zh-TW"/>
        </w:rPr>
        <w:t>“公益性项目”是指为社会公共利益服务、不以盈利为目的，且不能或不宜通过市场化方式运作的政府投资项目，如市政道路、公共交通等基础设施项目，以及公共卫生、基础科研、义务教育、保障性安居工程等基本建设项目。</w:t>
      </w:r>
      <w:r>
        <w:rPr>
          <w:rFonts w:hint="eastAsia" w:ascii="仿宋_GB2312" w:hAnsi="仿宋_GB2312" w:eastAsia="仿宋_GB2312" w:cs="仿宋_GB2312"/>
          <w:b w:val="0"/>
          <w:szCs w:val="28"/>
          <w:lang w:val="en-US" w:eastAsia="zh-CN"/>
        </w:rPr>
        <w:t>项目建成后，能够改善当地的基础设施建设</w:t>
      </w:r>
      <w:r>
        <w:rPr>
          <w:rFonts w:hint="eastAsia" w:ascii="仿宋_GB2312" w:hAnsi="仿宋_GB2312" w:eastAsia="仿宋_GB2312" w:cs="仿宋_GB2312"/>
          <w:b w:val="0"/>
          <w:szCs w:val="28"/>
          <w:lang w:val="zh-TW" w:eastAsia="zh-TW"/>
        </w:rPr>
        <w:t>，</w:t>
      </w:r>
      <w:r>
        <w:rPr>
          <w:rFonts w:hint="eastAsia" w:ascii="仿宋_GB2312" w:hAnsi="仿宋_GB2312" w:eastAsia="仿宋_GB2312" w:cs="仿宋_GB2312"/>
          <w:b w:val="0"/>
          <w:szCs w:val="28"/>
          <w:lang w:val="en-US" w:eastAsia="zh-CN"/>
        </w:rPr>
        <w:t>武安工业园区产城融合示范区基础设施建设项目(二期)</w:t>
      </w:r>
      <w:r>
        <w:rPr>
          <w:rFonts w:hint="eastAsia" w:ascii="仿宋_GB2312" w:hAnsi="仿宋_GB2312" w:eastAsia="仿宋_GB2312" w:cs="仿宋_GB2312"/>
          <w:b w:val="0"/>
          <w:szCs w:val="28"/>
          <w:lang w:val="zh-TW" w:eastAsia="zh-TW"/>
        </w:rPr>
        <w:t>具有公益性的特征。</w:t>
      </w:r>
    </w:p>
    <w:p>
      <w:pPr>
        <w:pStyle w:val="12"/>
        <w:spacing w:line="480" w:lineRule="auto"/>
        <w:jc w:val="both"/>
        <w:rPr>
          <w:rFonts w:hint="eastAsia" w:ascii="仿宋_GB2312" w:hAnsi="仿宋_GB2312" w:eastAsia="仿宋_GB2312" w:cs="仿宋_GB2312"/>
          <w:b w:val="0"/>
          <w:szCs w:val="28"/>
          <w:highlight w:val="none"/>
          <w:lang w:val="en-US" w:eastAsia="zh-CN"/>
        </w:rPr>
      </w:pPr>
      <w:r>
        <w:rPr>
          <w:rFonts w:hint="eastAsia" w:ascii="仿宋_GB2312" w:hAnsi="仿宋_GB2312" w:eastAsia="仿宋_GB2312" w:cs="仿宋_GB2312"/>
          <w:b w:val="0"/>
          <w:szCs w:val="28"/>
          <w:highlight w:val="none"/>
          <w:lang w:val="en-US" w:eastAsia="zh-CN"/>
        </w:rPr>
        <w:t xml:space="preserve"> 2、建设的必要性</w:t>
      </w:r>
    </w:p>
    <w:p>
      <w:pPr>
        <w:ind w:firstLine="630" w:firstLineChars="22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根据《武安市城乡总体规划(2013-2030年)》，中心城区建设将实施“东接、西扩、南延、北拓、中改”发展战略，2020年，中心城区人口50万，建设用地达55万平方公里，至2030年，中心城区人口55万，建设用地达60万平方公里。</w:t>
      </w:r>
    </w:p>
    <w:p>
      <w:pPr>
        <w:ind w:firstLine="630" w:firstLineChars="22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武安工业园区地接邯郸市复兴区，是邯郸或外地客商进来武安 的必经之地，当前正值武安市园区创建国家级经济开发区的重要阶 段，按照 “产城融合，宜居宜业宜游”的工作思路，扩大建设区域，推动产城融合发展，通过建设东部产城融合创新区，加快高新技术产业、战略性新兴产业集聚,拉开城市东部发展框架,完善基础设施功能,以产业化促进城市化,以城市化推进产业化,实现城市建设与产业发展的良性互动。</w:t>
      </w:r>
    </w:p>
    <w:p>
      <w:pPr>
        <w:ind w:firstLine="630" w:firstLineChars="22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根据武安市委、市政府关于加快东部产城融合示范区建设的总 体要求，将东部产城融合创新区打造成战略性新兴产业先行区、政 产学研一体化发展示范区和城市发展副中心，助推武安市转型发展、绿色发展、创新发展、城乡融合发展、与邯郸市主城区一体化发展提供有力支撑。</w:t>
      </w:r>
    </w:p>
    <w:p>
      <w:pPr>
        <w:ind w:firstLine="630" w:firstLineChars="22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本着“拉开东部框架、完善基础设施、创新示范引领、产城融合发展”的思路，大力实施东部产城融合创新区建设，实现东部新城 “工业+商业+居住+公益性事业+康养旅游”综合型整体发展，提升东部产城融合能级水平，为建设富强文明美丽幸福的现代化中等城市奠定坚实基础。</w:t>
      </w:r>
    </w:p>
    <w:p>
      <w:pPr>
        <w:ind w:firstLine="630" w:firstLineChars="22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根据《河北武安工业园区控制性详细规划》( 2013年) ，本项目为规划新建的产城融合示范区与主城区连接主干道，起点为武安 市东环路，终点为曹公大街，道路全长1626.15m,道路控制红线宽度 70m，绿线控制宽度为110m。主要建设内容包含道路及给排水、供热、燃气、电力及附属工程等。</w:t>
      </w:r>
    </w:p>
    <w:p>
      <w:pPr>
        <w:ind w:firstLine="630" w:firstLineChars="22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综上，本项目的建设是很有必要的。</w:t>
      </w:r>
    </w:p>
    <w:p>
      <w:pPr>
        <w:ind w:firstLine="630" w:firstLineChars="225"/>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lang w:eastAsia="zh-CN"/>
        </w:rPr>
        <w:t>（三）</w:t>
      </w:r>
      <w:r>
        <w:rPr>
          <w:rFonts w:hint="eastAsia" w:ascii="仿宋_GB2312" w:hAnsi="仿宋_GB2312" w:eastAsia="仿宋_GB2312" w:cs="仿宋_GB2312"/>
          <w:b w:val="0"/>
          <w:bCs w:val="0"/>
          <w:color w:val="000000"/>
          <w:sz w:val="28"/>
          <w:szCs w:val="28"/>
          <w:lang w:val="en-US" w:eastAsia="zh-CN"/>
        </w:rPr>
        <w:t>项目具体的建设内容</w:t>
      </w:r>
    </w:p>
    <w:p>
      <w:pPr>
        <w:numPr>
          <w:ilvl w:val="0"/>
          <w:numId w:val="0"/>
        </w:numPr>
        <w:ind w:firstLine="560" w:firstLineChars="200"/>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武安工业园区产城融合示范区基础设施建设项目(二期)为产城融合示范区与主城区连接主干道，起点为武安市东环路，终点为曹公大街，道路全长1626.15m,道路控制红线宽度 55m，主要建设内容包含道路及给排水、供热、燃气、电力及附属工程等。</w:t>
      </w:r>
    </w:p>
    <w:p>
      <w:pPr>
        <w:numPr>
          <w:ilvl w:val="0"/>
          <w:numId w:val="0"/>
        </w:numPr>
        <w:ind w:firstLine="560" w:firstLineChars="200"/>
        <w:outlineLvl w:val="1"/>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lang w:eastAsia="zh-CN"/>
        </w:rPr>
        <w:t>（四）</w:t>
      </w:r>
      <w:r>
        <w:rPr>
          <w:rFonts w:hint="eastAsia" w:ascii="仿宋_GB2312" w:hAnsi="仿宋_GB2312" w:eastAsia="仿宋_GB2312" w:cs="仿宋_GB2312"/>
          <w:color w:val="000000"/>
          <w:sz w:val="28"/>
          <w:szCs w:val="28"/>
          <w:highlight w:val="none"/>
        </w:rPr>
        <w:t>项目经济社会效益</w:t>
      </w:r>
    </w:p>
    <w:p>
      <w:pPr>
        <w:pStyle w:val="3"/>
        <w:spacing w:after="0"/>
        <w:ind w:left="0" w:leftChars="0" w:firstLine="560" w:firstLineChars="200"/>
        <w:outlineLvl w:val="2"/>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w:t>
      </w:r>
      <w:r>
        <w:rPr>
          <w:rFonts w:hint="eastAsia" w:ascii="仿宋_GB2312" w:hAnsi="仿宋_GB2312" w:eastAsia="仿宋_GB2312" w:cs="仿宋_GB2312"/>
          <w:bCs/>
          <w:sz w:val="28"/>
          <w:szCs w:val="28"/>
          <w:highlight w:val="none"/>
        </w:rPr>
        <w:t>经济效益分析</w:t>
      </w:r>
    </w:p>
    <w:p>
      <w:pPr>
        <w:pStyle w:val="12"/>
        <w:spacing w:line="480" w:lineRule="auto"/>
        <w:ind w:firstLine="560"/>
        <w:jc w:val="both"/>
        <w:rPr>
          <w:rFonts w:hint="eastAsia" w:ascii="仿宋_GB2312" w:hAnsi="仿宋_GB2312" w:eastAsia="仿宋_GB2312" w:cs="仿宋_GB2312"/>
          <w:b w:val="0"/>
          <w:szCs w:val="28"/>
          <w:lang w:val="en-US" w:eastAsia="zh-CN"/>
        </w:rPr>
      </w:pPr>
      <w:r>
        <w:rPr>
          <w:rFonts w:hint="eastAsia" w:ascii="仿宋_GB2312" w:hAnsi="仿宋_GB2312" w:eastAsia="仿宋_GB2312" w:cs="仿宋_GB2312"/>
          <w:b w:val="0"/>
          <w:szCs w:val="28"/>
          <w:lang w:val="en-US" w:eastAsia="zh-CN"/>
        </w:rPr>
        <w:t>本项目属于城市基础设施建设，项目建成后对武安市经济发展 起到极大的推动作用和综合效益，具体体现在以下几个方面：</w:t>
      </w:r>
    </w:p>
    <w:p>
      <w:pPr>
        <w:pStyle w:val="12"/>
        <w:spacing w:line="480" w:lineRule="auto"/>
        <w:ind w:firstLine="560"/>
        <w:jc w:val="both"/>
        <w:rPr>
          <w:rFonts w:hint="eastAsia" w:ascii="仿宋_GB2312" w:hAnsi="仿宋_GB2312" w:eastAsia="仿宋_GB2312" w:cs="仿宋_GB2312"/>
          <w:b w:val="0"/>
          <w:szCs w:val="28"/>
          <w:lang w:val="en-US" w:eastAsia="zh-CN"/>
        </w:rPr>
      </w:pPr>
      <w:r>
        <w:rPr>
          <w:rFonts w:hint="eastAsia" w:ascii="仿宋_GB2312" w:hAnsi="仿宋_GB2312" w:eastAsia="仿宋_GB2312" w:cs="仿宋_GB2312"/>
          <w:b w:val="0"/>
          <w:szCs w:val="28"/>
          <w:lang w:val="en-US" w:eastAsia="zh-CN"/>
        </w:rPr>
        <w:t>1 )改善武安市整个城市的交通环境，完善城市道路交通网络，提高通行能力，缓解周边相关道路的交通压力；推动文明城市建设和城区经济发展。</w:t>
      </w:r>
    </w:p>
    <w:p>
      <w:pPr>
        <w:pStyle w:val="12"/>
        <w:spacing w:line="480" w:lineRule="auto"/>
        <w:ind w:firstLine="560"/>
        <w:jc w:val="both"/>
        <w:rPr>
          <w:rFonts w:hint="eastAsia" w:ascii="仿宋_GB2312" w:hAnsi="仿宋_GB2312" w:eastAsia="仿宋_GB2312" w:cs="仿宋_GB2312"/>
          <w:b w:val="0"/>
          <w:szCs w:val="28"/>
          <w:lang w:val="en-US" w:eastAsia="zh-CN"/>
        </w:rPr>
      </w:pPr>
      <w:r>
        <w:rPr>
          <w:rFonts w:hint="eastAsia" w:ascii="仿宋_GB2312" w:hAnsi="仿宋_GB2312" w:eastAsia="仿宋_GB2312" w:cs="仿宋_GB2312"/>
          <w:b w:val="0"/>
          <w:szCs w:val="28"/>
          <w:lang w:val="en-US" w:eastAsia="zh-CN"/>
        </w:rPr>
        <w:t>2)土地综合开发利用和增值，本工程的建设可带动道路两侧城 区的改造、土地开发和增值。</w:t>
      </w:r>
    </w:p>
    <w:p>
      <w:pPr>
        <w:pStyle w:val="12"/>
        <w:spacing w:line="480" w:lineRule="auto"/>
        <w:ind w:firstLine="560"/>
        <w:jc w:val="both"/>
        <w:rPr>
          <w:rFonts w:hint="eastAsia" w:ascii="仿宋_GB2312" w:hAnsi="仿宋_GB2312" w:eastAsia="仿宋_GB2312" w:cs="仿宋_GB2312"/>
          <w:b w:val="0"/>
          <w:szCs w:val="28"/>
          <w:lang w:val="en-US" w:eastAsia="zh-CN"/>
        </w:rPr>
      </w:pPr>
      <w:r>
        <w:rPr>
          <w:rFonts w:hint="eastAsia" w:ascii="仿宋_GB2312" w:hAnsi="仿宋_GB2312" w:eastAsia="仿宋_GB2312" w:cs="仿宋_GB2312"/>
          <w:b w:val="0"/>
          <w:szCs w:val="28"/>
          <w:lang w:val="en-US" w:eastAsia="zh-CN"/>
        </w:rPr>
        <w:t>3)改善城区投资环境，提高地块价值，吸引外资。</w:t>
      </w:r>
    </w:p>
    <w:p>
      <w:pPr>
        <w:pStyle w:val="12"/>
        <w:spacing w:line="480" w:lineRule="auto"/>
        <w:ind w:firstLine="560"/>
        <w:jc w:val="both"/>
        <w:rPr>
          <w:rFonts w:hint="eastAsia" w:ascii="仿宋_GB2312" w:hAnsi="仿宋_GB2312" w:eastAsia="仿宋_GB2312" w:cs="仿宋_GB2312"/>
          <w:b w:val="0"/>
          <w:szCs w:val="28"/>
          <w:lang w:val="en-US" w:eastAsia="zh-CN"/>
        </w:rPr>
      </w:pPr>
      <w:r>
        <w:rPr>
          <w:rFonts w:hint="eastAsia" w:ascii="仿宋_GB2312" w:hAnsi="仿宋_GB2312" w:eastAsia="仿宋_GB2312" w:cs="仿宋_GB2312"/>
          <w:b w:val="0"/>
          <w:szCs w:val="28"/>
          <w:lang w:val="en-US" w:eastAsia="zh-CN"/>
        </w:rPr>
        <w:t xml:space="preserve">4)美化城市环境，提高城市整体形象。          </w:t>
      </w:r>
    </w:p>
    <w:p>
      <w:pPr>
        <w:pStyle w:val="12"/>
        <w:spacing w:line="480" w:lineRule="auto"/>
        <w:ind w:firstLine="560"/>
        <w:jc w:val="both"/>
        <w:rPr>
          <w:rFonts w:hint="eastAsia" w:ascii="仿宋_GB2312" w:hAnsi="仿宋_GB2312" w:eastAsia="仿宋_GB2312" w:cs="仿宋_GB2312"/>
          <w:b w:val="0"/>
          <w:szCs w:val="28"/>
          <w:lang w:val="en-US" w:eastAsia="zh-CN"/>
        </w:rPr>
      </w:pPr>
      <w:r>
        <w:rPr>
          <w:rFonts w:hint="eastAsia" w:ascii="仿宋_GB2312" w:hAnsi="仿宋_GB2312" w:eastAsia="仿宋_GB2312" w:cs="仿宋_GB2312"/>
          <w:b w:val="0"/>
          <w:szCs w:val="28"/>
          <w:lang w:val="en-US" w:eastAsia="zh-CN"/>
        </w:rPr>
        <w:t>5)拓宽了城市骨架，扩大城市的规模。</w:t>
      </w:r>
    </w:p>
    <w:p>
      <w:pPr>
        <w:pStyle w:val="12"/>
        <w:spacing w:line="480" w:lineRule="auto"/>
        <w:ind w:firstLine="560"/>
        <w:jc w:val="both"/>
        <w:rPr>
          <w:rFonts w:hint="default" w:ascii="仿宋_GB2312" w:hAnsi="仿宋_GB2312" w:eastAsia="仿宋_GB2312" w:cs="仿宋_GB2312"/>
          <w:b w:val="0"/>
          <w:szCs w:val="28"/>
          <w:lang w:val="en-US" w:eastAsia="zh-CN"/>
        </w:rPr>
      </w:pPr>
      <w:r>
        <w:rPr>
          <w:rFonts w:hint="eastAsia" w:ascii="仿宋_GB2312" w:hAnsi="仿宋_GB2312" w:eastAsia="仿宋_GB2312" w:cs="仿宋_GB2312"/>
          <w:b w:val="0"/>
          <w:szCs w:val="28"/>
          <w:lang w:val="en-US" w:eastAsia="zh-CN"/>
        </w:rPr>
        <w:t>项目建成后，收入主要来自于土地出让收入和城市配套费收入。运营期内收入可达到173921.02万元。</w:t>
      </w:r>
    </w:p>
    <w:p>
      <w:pPr>
        <w:pStyle w:val="3"/>
        <w:numPr>
          <w:ilvl w:val="0"/>
          <w:numId w:val="0"/>
        </w:numPr>
        <w:spacing w:after="0"/>
        <w:ind w:firstLine="560" w:firstLineChars="200"/>
        <w:outlineLvl w:val="2"/>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2、</w:t>
      </w:r>
      <w:r>
        <w:rPr>
          <w:rFonts w:hint="eastAsia" w:ascii="仿宋_GB2312" w:hAnsi="仿宋_GB2312" w:eastAsia="仿宋_GB2312" w:cs="仿宋_GB2312"/>
          <w:bCs/>
          <w:sz w:val="28"/>
          <w:szCs w:val="28"/>
          <w:highlight w:val="none"/>
        </w:rPr>
        <w:t>社会效益分析</w:t>
      </w:r>
    </w:p>
    <w:p>
      <w:pPr>
        <w:pStyle w:val="12"/>
        <w:spacing w:line="480" w:lineRule="auto"/>
        <w:ind w:firstLine="560"/>
        <w:jc w:val="both"/>
        <w:rPr>
          <w:rFonts w:hint="eastAsia" w:ascii="仿宋_GB2312" w:hAnsi="仿宋_GB2312" w:eastAsia="仿宋_GB2312" w:cs="仿宋_GB2312"/>
          <w:b w:val="0"/>
          <w:szCs w:val="28"/>
          <w:lang w:val="en-US" w:eastAsia="zh-CN"/>
        </w:rPr>
      </w:pPr>
      <w:r>
        <w:rPr>
          <w:rFonts w:hint="eastAsia" w:ascii="仿宋_GB2312" w:hAnsi="仿宋_GB2312" w:eastAsia="仿宋_GB2312" w:cs="仿宋_GB2312"/>
          <w:b w:val="0"/>
          <w:szCs w:val="28"/>
          <w:lang w:val="en-US" w:eastAsia="zh-CN"/>
        </w:rPr>
        <w:t>本项目是武安工业园区基础设施工程，项目的建成在加强园区 发展方向，改善交通环境和园区基础建设的同时，加速园区建设、整合周边地块、带动园区的发展、提高居民生活环境和提升城市形象，达到地区经济协调、统一、可持续发展的目标。</w:t>
      </w:r>
    </w:p>
    <w:p>
      <w:pPr>
        <w:pStyle w:val="12"/>
        <w:spacing w:line="480" w:lineRule="auto"/>
        <w:ind w:firstLine="560"/>
        <w:jc w:val="both"/>
        <w:rPr>
          <w:rFonts w:hint="eastAsia" w:ascii="仿宋_GB2312" w:hAnsi="仿宋_GB2312" w:eastAsia="仿宋_GB2312" w:cs="仿宋_GB2312"/>
          <w:b w:val="0"/>
          <w:szCs w:val="28"/>
          <w:lang w:val="en-US" w:eastAsia="zh-CN"/>
        </w:rPr>
      </w:pPr>
      <w:r>
        <w:rPr>
          <w:rFonts w:hint="eastAsia" w:ascii="仿宋_GB2312" w:hAnsi="仿宋_GB2312" w:eastAsia="仿宋_GB2312" w:cs="仿宋_GB2312"/>
          <w:b w:val="0"/>
          <w:szCs w:val="28"/>
          <w:lang w:val="en-US" w:eastAsia="zh-CN"/>
        </w:rPr>
        <w:t>项目的实施，将大大加快产业园的产业发张速度，基础设施的完善，对于促进产业园招商引资、提高经济总量、增加土地价值、提高武安市的经济实力，都将起到非常好的促进作用，并且本项目社会效益明显，是一个利于地区发展，利于经济发展，利于社会发展的好项目。</w:t>
      </w:r>
    </w:p>
    <w:p>
      <w:pPr>
        <w:ind w:firstLine="560" w:firstLineChars="200"/>
        <w:rPr>
          <w:rFonts w:hint="eastAsia" w:ascii="仿宋_GB2312" w:hAnsi="仿宋_GB2312" w:eastAsia="仿宋_GB2312" w:cs="仿宋_GB2312"/>
          <w:bCs/>
          <w:sz w:val="28"/>
          <w:szCs w:val="28"/>
        </w:rPr>
      </w:pPr>
    </w:p>
    <w:p>
      <w:pPr>
        <w:ind w:firstLine="562" w:firstLineChars="200"/>
        <w:outlineLvl w:val="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四、项目实施主体</w:t>
      </w:r>
    </w:p>
    <w:p>
      <w:pPr>
        <w:pStyle w:val="12"/>
        <w:spacing w:line="480" w:lineRule="auto"/>
        <w:ind w:firstLine="560"/>
        <w:jc w:val="both"/>
        <w:rPr>
          <w:rFonts w:hint="eastAsia" w:ascii="仿宋_GB2312" w:hAnsi="仿宋_GB2312" w:eastAsia="仿宋_GB2312" w:cs="仿宋_GB2312"/>
          <w:highlight w:val="yellow"/>
        </w:rPr>
      </w:pPr>
      <w:r>
        <w:rPr>
          <w:rFonts w:hint="eastAsia" w:ascii="仿宋_GB2312" w:hAnsi="仿宋_GB2312" w:eastAsia="仿宋_GB2312" w:cs="仿宋_GB2312"/>
          <w:b w:val="0"/>
          <w:szCs w:val="28"/>
          <w:highlight w:val="none"/>
          <w:lang w:eastAsia="zh-CN"/>
        </w:rPr>
        <w:t>根据武安市行政审批局出具的《武安市行政审批局关于武安工业园区产城融合示范区基础设施建设项目(二期)可行性研究报告的批复》，武安工业园区产城融合示范区基础设施建设项目(二期)实施主体为河北武安工业园区管理委员会，根据河北武安工业园区管理委员会持有的《统一社会信用代码证书》，其基本情况如下：</w:t>
      </w:r>
      <w:r>
        <w:rPr>
          <w:rFonts w:hint="eastAsia" w:ascii="仿宋_GB2312" w:hAnsi="仿宋_GB2312" w:eastAsia="仿宋_GB2312" w:cs="仿宋_GB2312"/>
          <w:b w:val="0"/>
          <w:szCs w:val="28"/>
          <w:highlight w:val="none"/>
        </w:rPr>
        <w:t>：</w:t>
      </w:r>
    </w:p>
    <w:tbl>
      <w:tblPr>
        <w:tblStyle w:val="21"/>
        <w:tblW w:w="799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92"/>
        <w:gridCol w:w="5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2492" w:type="dxa"/>
          </w:tcPr>
          <w:p>
            <w:pPr>
              <w:pStyle w:val="85"/>
              <w:spacing w:before="10" w:line="360" w:lineRule="auto"/>
              <w:ind w:left="808" w:right="385"/>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机构名称</w:t>
            </w:r>
          </w:p>
        </w:tc>
        <w:tc>
          <w:tcPr>
            <w:tcW w:w="5507" w:type="dxa"/>
          </w:tcPr>
          <w:p>
            <w:pPr>
              <w:pStyle w:val="85"/>
              <w:spacing w:before="10" w:line="360" w:lineRule="auto"/>
              <w:ind w:right="122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河北武安工业园区管理委员会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2492" w:type="dxa"/>
          </w:tcPr>
          <w:p>
            <w:pPr>
              <w:pStyle w:val="85"/>
              <w:spacing w:before="8" w:line="360" w:lineRule="auto"/>
              <w:ind w:right="392"/>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统一社会信用代码</w:t>
            </w:r>
          </w:p>
        </w:tc>
        <w:tc>
          <w:tcPr>
            <w:tcW w:w="5507" w:type="dxa"/>
          </w:tcPr>
          <w:p>
            <w:pPr>
              <w:pStyle w:val="85"/>
              <w:spacing w:before="8" w:line="360" w:lineRule="auto"/>
              <w:ind w:right="122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11130481401839544B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2492" w:type="dxa"/>
          </w:tcPr>
          <w:p>
            <w:pPr>
              <w:pStyle w:val="85"/>
              <w:spacing w:before="11" w:line="360" w:lineRule="auto"/>
              <w:ind w:left="808" w:right="385"/>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机构性质</w:t>
            </w:r>
          </w:p>
        </w:tc>
        <w:tc>
          <w:tcPr>
            <w:tcW w:w="5507" w:type="dxa"/>
          </w:tcPr>
          <w:p>
            <w:pPr>
              <w:pStyle w:val="85"/>
              <w:spacing w:before="11" w:line="360" w:lineRule="auto"/>
              <w:ind w:right="122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机关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2492" w:type="dxa"/>
          </w:tcPr>
          <w:p>
            <w:pPr>
              <w:pStyle w:val="85"/>
              <w:spacing w:before="9" w:line="360" w:lineRule="auto"/>
              <w:ind w:left="808" w:right="385"/>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机构地址</w:t>
            </w:r>
          </w:p>
        </w:tc>
        <w:tc>
          <w:tcPr>
            <w:tcW w:w="5507" w:type="dxa"/>
          </w:tcPr>
          <w:p>
            <w:pPr>
              <w:pStyle w:val="85"/>
              <w:spacing w:before="9" w:line="360" w:lineRule="auto"/>
              <w:ind w:right="1220"/>
              <w:jc w:val="center"/>
              <w:rPr>
                <w:rFonts w:hint="default" w:ascii="仿宋_GB2312" w:hAnsi="仿宋_GB2312" w:eastAsia="仿宋_GB2312" w:cs="仿宋_GB2312"/>
                <w:sz w:val="24"/>
                <w:szCs w:val="24"/>
                <w:lang w:val="en-US"/>
              </w:rPr>
            </w:pPr>
            <w:r>
              <w:rPr>
                <w:rFonts w:hint="eastAsia" w:ascii="仿宋_GB2312" w:hAnsi="仿宋_GB2312" w:eastAsia="仿宋_GB2312" w:cs="仿宋_GB2312"/>
                <w:sz w:val="24"/>
                <w:szCs w:val="24"/>
                <w:lang w:val="en-US" w:eastAsia="zh-CN"/>
              </w:rPr>
              <w:t>河北省邯郸市武安市工业园区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2492" w:type="dxa"/>
          </w:tcPr>
          <w:p>
            <w:pPr>
              <w:pStyle w:val="85"/>
              <w:spacing w:before="9" w:line="360" w:lineRule="auto"/>
              <w:ind w:left="808" w:right="383"/>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负责人</w:t>
            </w:r>
          </w:p>
        </w:tc>
        <w:tc>
          <w:tcPr>
            <w:tcW w:w="5507" w:type="dxa"/>
          </w:tcPr>
          <w:p>
            <w:pPr>
              <w:pStyle w:val="85"/>
              <w:spacing w:before="9" w:line="360" w:lineRule="auto"/>
              <w:ind w:right="1220"/>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刘秀强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2492" w:type="dxa"/>
          </w:tcPr>
          <w:p>
            <w:pPr>
              <w:pStyle w:val="85"/>
              <w:spacing w:before="10" w:line="360" w:lineRule="auto"/>
              <w:ind w:left="808" w:right="385"/>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颁发日期</w:t>
            </w:r>
          </w:p>
        </w:tc>
        <w:tc>
          <w:tcPr>
            <w:tcW w:w="5507" w:type="dxa"/>
          </w:tcPr>
          <w:p>
            <w:pPr>
              <w:pStyle w:val="85"/>
              <w:spacing w:before="10" w:line="360" w:lineRule="auto"/>
              <w:ind w:right="1213"/>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202</w:t>
            </w: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pacing w:val="-33"/>
                <w:sz w:val="24"/>
                <w:szCs w:val="24"/>
              </w:rPr>
              <w:t xml:space="preserve"> 年 </w:t>
            </w:r>
            <w:r>
              <w:rPr>
                <w:rFonts w:hint="eastAsia" w:ascii="仿宋_GB2312" w:hAnsi="仿宋_GB2312" w:eastAsia="仿宋_GB2312" w:cs="仿宋_GB2312"/>
                <w:sz w:val="24"/>
                <w:szCs w:val="24"/>
              </w:rPr>
              <w:t>5</w:t>
            </w:r>
            <w:r>
              <w:rPr>
                <w:rFonts w:hint="eastAsia" w:ascii="仿宋_GB2312" w:hAnsi="仿宋_GB2312" w:eastAsia="仿宋_GB2312" w:cs="仿宋_GB2312"/>
                <w:spacing w:val="-33"/>
                <w:sz w:val="24"/>
                <w:szCs w:val="24"/>
              </w:rPr>
              <w:t xml:space="preserve"> 月 </w:t>
            </w: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pacing w:val="-7"/>
                <w:sz w:val="24"/>
                <w:szCs w:val="24"/>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2492" w:type="dxa"/>
          </w:tcPr>
          <w:p>
            <w:pPr>
              <w:pStyle w:val="85"/>
              <w:spacing w:before="10" w:line="360" w:lineRule="auto"/>
              <w:ind w:right="383"/>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登记管理机关</w:t>
            </w:r>
          </w:p>
        </w:tc>
        <w:tc>
          <w:tcPr>
            <w:tcW w:w="5507" w:type="dxa"/>
          </w:tcPr>
          <w:p>
            <w:pPr>
              <w:pStyle w:val="85"/>
              <w:spacing w:before="10" w:line="360" w:lineRule="auto"/>
              <w:ind w:right="122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中共</w:t>
            </w:r>
            <w:r>
              <w:rPr>
                <w:rFonts w:hint="eastAsia" w:ascii="仿宋_GB2312" w:hAnsi="仿宋_GB2312" w:eastAsia="仿宋_GB2312" w:cs="仿宋_GB2312"/>
                <w:sz w:val="24"/>
                <w:szCs w:val="24"/>
                <w:lang w:eastAsia="zh-CN"/>
              </w:rPr>
              <w:t>武安市</w:t>
            </w:r>
            <w:r>
              <w:rPr>
                <w:rFonts w:hint="eastAsia" w:ascii="仿宋_GB2312" w:hAnsi="仿宋_GB2312" w:eastAsia="仿宋_GB2312" w:cs="仿宋_GB2312"/>
                <w:sz w:val="24"/>
                <w:szCs w:val="24"/>
              </w:rPr>
              <w:t>委机构编制委员会办公室</w:t>
            </w:r>
          </w:p>
        </w:tc>
      </w:tr>
    </w:tbl>
    <w:p>
      <w:pPr>
        <w:ind w:firstLine="560"/>
        <w:jc w:val="left"/>
        <w:rPr>
          <w:rFonts w:hint="eastAsia" w:ascii="仿宋_GB2312" w:hAnsi="仿宋_GB2312" w:eastAsia="仿宋_GB2312" w:cs="仿宋_GB2312"/>
          <w:bCs/>
          <w:sz w:val="28"/>
          <w:szCs w:val="28"/>
          <w:highlight w:val="none"/>
          <w:lang w:val="en-US" w:eastAsia="zh-CN"/>
        </w:rPr>
      </w:pPr>
      <w:r>
        <w:rPr>
          <w:rFonts w:hint="eastAsia" w:ascii="仿宋_GB2312" w:hAnsi="仿宋_GB2312" w:eastAsia="仿宋_GB2312" w:cs="仿宋_GB2312"/>
          <w:sz w:val="28"/>
          <w:szCs w:val="28"/>
          <w:highlight w:val="none"/>
          <w:lang w:eastAsia="zh-CN"/>
        </w:rPr>
        <w:t>河北武安工业园区管理委员会是经批准设立独立的机关法人，具有相应民事权力能力和民事行为能力；历史沿革合法合规、依法有效存续；具备作为项目实施的主体资格。</w:t>
      </w:r>
    </w:p>
    <w:p>
      <w:pPr>
        <w:ind w:firstLine="562" w:firstLineChars="200"/>
        <w:outlineLvl w:val="0"/>
        <w:rPr>
          <w:rFonts w:hint="eastAsia" w:ascii="仿宋_GB2312" w:hAnsi="仿宋_GB2312" w:eastAsia="仿宋_GB2312" w:cs="仿宋_GB2312"/>
          <w:b/>
          <w:bCs/>
          <w:sz w:val="28"/>
          <w:szCs w:val="28"/>
          <w:u w:val="single"/>
        </w:rPr>
      </w:pPr>
      <w:r>
        <w:rPr>
          <w:rFonts w:hint="eastAsia" w:ascii="仿宋_GB2312" w:hAnsi="仿宋_GB2312" w:eastAsia="仿宋_GB2312" w:cs="仿宋_GB2312"/>
          <w:b/>
          <w:bCs/>
          <w:sz w:val="28"/>
          <w:szCs w:val="28"/>
          <w:lang w:val="en-US" w:eastAsia="zh-CN"/>
        </w:rPr>
        <w:t>五</w:t>
      </w:r>
      <w:r>
        <w:rPr>
          <w:rFonts w:hint="eastAsia" w:ascii="仿宋_GB2312" w:hAnsi="仿宋_GB2312" w:eastAsia="仿宋_GB2312" w:cs="仿宋_GB2312"/>
          <w:b/>
          <w:bCs/>
          <w:sz w:val="28"/>
          <w:szCs w:val="28"/>
        </w:rPr>
        <w:t>、项目投资规模、计划及资金方案</w:t>
      </w:r>
    </w:p>
    <w:p>
      <w:pPr>
        <w:ind w:firstLine="560" w:firstLineChars="200"/>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（一）项目建设投资方案</w:t>
      </w:r>
    </w:p>
    <w:p>
      <w:pPr>
        <w:ind w:firstLine="560" w:firstLineChars="200"/>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1.投资方案的编制依据。</w:t>
      </w:r>
    </w:p>
    <w:p>
      <w:pPr>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1 )建设部建标[2007]164 号《市政工程投资估算编制办法》；</w:t>
      </w:r>
    </w:p>
    <w:p>
      <w:pPr>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2 )《市政工程预算定额河北省综合基价》  ( 2012 ) ；</w:t>
      </w:r>
    </w:p>
    <w:p>
      <w:pPr>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3 )《河北省建设项目概算其他费用定额》  ( 2018 ) ；</w:t>
      </w:r>
    </w:p>
    <w:p>
      <w:pPr>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4 )甲方提供的工程基础数据资料；</w:t>
      </w:r>
    </w:p>
    <w:p>
      <w:pPr>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5 )主要材料价格按武安市材料指导价格调整，不足部分按市场 价调整；</w:t>
      </w:r>
    </w:p>
    <w:p>
      <w:pPr>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6 )《建设项目经济评价方法与参数》  (第三版) ；</w:t>
      </w:r>
    </w:p>
    <w:p>
      <w:pPr>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7 )《 投资项目可行性研究指南》(试用版)(计办投资[2002]15 号) 。</w:t>
      </w:r>
    </w:p>
    <w:p>
      <w:pPr>
        <w:ind w:firstLine="560" w:firstLineChars="200"/>
        <w:outlineLvl w:val="2"/>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2.项目总投资</w:t>
      </w:r>
    </w:p>
    <w:p>
      <w:pPr>
        <w:ind w:firstLine="560" w:firstLineChars="200"/>
        <w:jc w:val="both"/>
        <w:outlineLvl w:val="2"/>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项目总投资37850万元，其中：工程费用16173万元，工程建设其他费用18873万元，预备费2804万元。</w:t>
      </w:r>
    </w:p>
    <w:p>
      <w:pPr>
        <w:ind w:firstLine="3360" w:firstLineChars="1200"/>
        <w:jc w:val="both"/>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投资估算表</w:t>
      </w:r>
    </w:p>
    <w:p>
      <w:pPr>
        <w:ind w:firstLine="5880" w:firstLineChars="2450"/>
        <w:jc w:val="righ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单位：万元</w:t>
      </w:r>
    </w:p>
    <w:tbl>
      <w:tblPr>
        <w:tblStyle w:val="21"/>
        <w:tblW w:w="829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01"/>
        <w:gridCol w:w="1841"/>
        <w:gridCol w:w="1480"/>
        <w:gridCol w:w="1659"/>
        <w:gridCol w:w="1037"/>
        <w:gridCol w:w="14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0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序号</w:t>
            </w:r>
          </w:p>
        </w:tc>
        <w:tc>
          <w:tcPr>
            <w:tcW w:w="184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名称</w:t>
            </w:r>
          </w:p>
        </w:tc>
        <w:tc>
          <w:tcPr>
            <w:tcW w:w="5657" w:type="dxa"/>
            <w:gridSpan w:val="4"/>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估算价值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0"/>
                <w:szCs w:val="20"/>
                <w:u w:val="none"/>
              </w:rPr>
            </w:pPr>
          </w:p>
        </w:tc>
        <w:tc>
          <w:tcPr>
            <w:tcW w:w="1841"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0"/>
                <w:szCs w:val="20"/>
                <w:u w:val="none"/>
              </w:rPr>
            </w:pPr>
          </w:p>
        </w:tc>
        <w:tc>
          <w:tcPr>
            <w:tcW w:w="14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工程费用</w:t>
            </w:r>
          </w:p>
        </w:tc>
        <w:tc>
          <w:tcPr>
            <w:tcW w:w="165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工程建设其他费</w:t>
            </w:r>
          </w:p>
        </w:tc>
        <w:tc>
          <w:tcPr>
            <w:tcW w:w="103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预备费</w:t>
            </w:r>
          </w:p>
        </w:tc>
        <w:tc>
          <w:tcPr>
            <w:tcW w:w="148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合计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一</w:t>
            </w:r>
          </w:p>
        </w:tc>
        <w:tc>
          <w:tcPr>
            <w:tcW w:w="184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项目建设投资</w:t>
            </w:r>
          </w:p>
        </w:tc>
        <w:tc>
          <w:tcPr>
            <w:tcW w:w="1480"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0"/>
                <w:szCs w:val="20"/>
                <w:u w:val="none"/>
              </w:rPr>
            </w:pPr>
          </w:p>
        </w:tc>
        <w:tc>
          <w:tcPr>
            <w:tcW w:w="1659"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0"/>
                <w:szCs w:val="20"/>
                <w:u w:val="none"/>
              </w:rPr>
            </w:pPr>
          </w:p>
        </w:tc>
        <w:tc>
          <w:tcPr>
            <w:tcW w:w="1037"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0"/>
                <w:szCs w:val="20"/>
                <w:u w:val="none"/>
              </w:rPr>
            </w:pPr>
          </w:p>
        </w:tc>
        <w:tc>
          <w:tcPr>
            <w:tcW w:w="1481"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0"/>
                <w:szCs w:val="20"/>
                <w:u w:val="none"/>
              </w:rPr>
            </w:pPr>
          </w:p>
        </w:tc>
        <w:tc>
          <w:tcPr>
            <w:tcW w:w="184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武安工业园区产城融合示范区基础设施建设项目(二期)</w:t>
            </w:r>
          </w:p>
        </w:tc>
        <w:tc>
          <w:tcPr>
            <w:tcW w:w="14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16173.00</w:t>
            </w:r>
          </w:p>
        </w:tc>
        <w:tc>
          <w:tcPr>
            <w:tcW w:w="165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18873</w:t>
            </w:r>
          </w:p>
        </w:tc>
        <w:tc>
          <w:tcPr>
            <w:tcW w:w="10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2804</w:t>
            </w:r>
          </w:p>
        </w:tc>
        <w:tc>
          <w:tcPr>
            <w:tcW w:w="148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37850.00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01"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二</w:t>
            </w:r>
          </w:p>
        </w:tc>
        <w:tc>
          <w:tcPr>
            <w:tcW w:w="1841"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占比</w:t>
            </w:r>
          </w:p>
        </w:tc>
        <w:tc>
          <w:tcPr>
            <w:tcW w:w="14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42.73%</w:t>
            </w:r>
          </w:p>
        </w:tc>
        <w:tc>
          <w:tcPr>
            <w:tcW w:w="1659"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49.86%</w:t>
            </w:r>
          </w:p>
        </w:tc>
        <w:tc>
          <w:tcPr>
            <w:tcW w:w="1037"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7.41%</w:t>
            </w:r>
          </w:p>
        </w:tc>
        <w:tc>
          <w:tcPr>
            <w:tcW w:w="1481"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100%</w:t>
            </w:r>
          </w:p>
        </w:tc>
      </w:tr>
    </w:tbl>
    <w:p>
      <w:pPr>
        <w:ind w:firstLine="420" w:firstLineChars="150"/>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（二）资金筹措方案</w:t>
      </w:r>
    </w:p>
    <w:p>
      <w:pPr>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1.项目资金来源</w:t>
      </w:r>
    </w:p>
    <w:p>
      <w:pPr>
        <w:numPr>
          <w:ilvl w:val="0"/>
          <w:numId w:val="0"/>
        </w:numPr>
        <w:ind w:firstLine="560" w:firstLineChars="200"/>
        <w:rPr>
          <w:rFonts w:hint="eastAsia" w:ascii="仿宋_GB2312" w:hAnsi="仿宋_GB2312" w:eastAsia="仿宋_GB2312" w:cs="仿宋_GB2312"/>
          <w:b w:val="0"/>
          <w:bCs w:val="0"/>
          <w:kern w:val="2"/>
          <w:sz w:val="28"/>
          <w:szCs w:val="28"/>
          <w:highlight w:val="none"/>
          <w:lang w:val="en-US" w:eastAsia="zh-CN" w:bidi="ar-SA"/>
        </w:rPr>
      </w:pPr>
      <w:bookmarkStart w:id="1" w:name="_GoBack"/>
      <w:r>
        <w:rPr>
          <w:rFonts w:hint="eastAsia" w:ascii="仿宋_GB2312" w:hAnsi="仿宋_GB2312" w:eastAsia="仿宋_GB2312" w:cs="仿宋_GB2312"/>
          <w:sz w:val="28"/>
          <w:szCs w:val="28"/>
          <w:lang w:eastAsia="zh-CN"/>
        </w:rPr>
        <w:t>本项目</w:t>
      </w:r>
      <w:r>
        <w:rPr>
          <w:rFonts w:hint="eastAsia" w:ascii="仿宋_GB2312" w:hAnsi="仿宋_GB2312" w:eastAsia="仿宋_GB2312" w:cs="仿宋_GB2312"/>
          <w:b w:val="0"/>
          <w:bCs w:val="0"/>
          <w:kern w:val="2"/>
          <w:sz w:val="28"/>
          <w:szCs w:val="28"/>
          <w:highlight w:val="none"/>
          <w:lang w:val="en-US" w:eastAsia="zh-CN" w:bidi="ar-SA"/>
        </w:rPr>
        <w:t>总投资37850万元，</w:t>
      </w:r>
      <w:r>
        <w:rPr>
          <w:rFonts w:hint="eastAsia" w:ascii="仿宋_GB2312" w:hAnsi="仿宋_GB2312" w:eastAsia="仿宋_GB2312" w:cs="仿宋_GB2312"/>
          <w:color w:val="auto"/>
          <w:sz w:val="28"/>
          <w:szCs w:val="28"/>
          <w:lang w:val="en-US" w:eastAsia="zh-CN"/>
        </w:rPr>
        <w:t>项目本期拟申请政府专项债券20000万元，期限10年；</w:t>
      </w:r>
      <w:r>
        <w:rPr>
          <w:rFonts w:hint="eastAsia" w:ascii="仿宋_GB2312" w:hAnsi="仿宋_GB2312" w:eastAsia="仿宋_GB2312" w:cs="仿宋_GB2312"/>
          <w:color w:val="auto"/>
          <w:sz w:val="28"/>
          <w:szCs w:val="28"/>
          <w:highlight w:val="none"/>
          <w:lang w:val="en-US" w:eastAsia="zh-CN"/>
        </w:rPr>
        <w:t>占总投资的52.84%。</w:t>
      </w:r>
      <w:r>
        <w:rPr>
          <w:rFonts w:hint="eastAsia" w:ascii="仿宋_GB2312" w:hAnsi="仿宋_GB2312" w:eastAsia="仿宋_GB2312" w:cs="仿宋_GB2312"/>
          <w:b w:val="0"/>
          <w:bCs w:val="0"/>
          <w:sz w:val="28"/>
          <w:szCs w:val="28"/>
          <w:lang w:val="en-US" w:eastAsia="zh-CN"/>
        </w:rPr>
        <w:t>未超过</w:t>
      </w:r>
      <w:r>
        <w:rPr>
          <w:rFonts w:hint="eastAsia" w:ascii="仿宋_GB2312" w:hAnsi="仿宋_GB2312" w:eastAsia="仿宋_GB2312" w:cs="仿宋_GB2312"/>
          <w:b w:val="0"/>
          <w:bCs w:val="0"/>
          <w:sz w:val="28"/>
          <w:szCs w:val="28"/>
          <w:highlight w:val="none"/>
          <w:lang w:val="en-US" w:eastAsia="zh-CN"/>
        </w:rPr>
        <w:t>武安市</w:t>
      </w:r>
      <w:r>
        <w:rPr>
          <w:rFonts w:hint="eastAsia" w:ascii="仿宋_GB2312" w:hAnsi="仿宋_GB2312" w:eastAsia="仿宋_GB2312" w:cs="仿宋_GB2312"/>
          <w:b w:val="0"/>
          <w:bCs w:val="0"/>
          <w:sz w:val="28"/>
          <w:szCs w:val="28"/>
          <w:lang w:val="en-US" w:eastAsia="zh-CN"/>
        </w:rPr>
        <w:t>专项债券限额，符合本期政府专项债券的发行条件。项目资本金为17850万元，占总投资的47.16%，由市财政提供，</w:t>
      </w:r>
      <w:r>
        <w:rPr>
          <w:rFonts w:hint="eastAsia" w:ascii="仿宋_GB2312" w:hAnsi="仿宋_GB2312" w:eastAsia="仿宋_GB2312" w:cs="仿宋_GB2312"/>
          <w:b w:val="0"/>
          <w:bCs w:val="0"/>
          <w:kern w:val="2"/>
          <w:sz w:val="28"/>
          <w:szCs w:val="28"/>
          <w:highlight w:val="none"/>
          <w:lang w:val="en-US" w:eastAsia="zh-CN" w:bidi="ar-SA"/>
        </w:rPr>
        <w:t>并列入当年相应年度财政预算，确保项目资金及时投入，保证项目顺利实施。</w:t>
      </w:r>
    </w:p>
    <w:p>
      <w:pPr>
        <w:jc w:val="center"/>
        <w:rPr>
          <w:rFonts w:hint="eastAsia" w:ascii="仿宋_GB2312" w:hAnsi="仿宋_GB2312" w:eastAsia="仿宋_GB2312" w:cs="仿宋_GB2312"/>
          <w:b w:val="0"/>
          <w:bCs w:val="0"/>
          <w:iCs/>
          <w:sz w:val="28"/>
          <w:szCs w:val="28"/>
          <w:highlight w:val="yellow"/>
        </w:rPr>
      </w:pPr>
      <w:r>
        <w:rPr>
          <w:rFonts w:hint="eastAsia" w:ascii="仿宋_GB2312" w:hAnsi="仿宋_GB2312" w:eastAsia="仿宋_GB2312" w:cs="仿宋_GB2312"/>
          <w:b w:val="0"/>
          <w:bCs w:val="0"/>
          <w:iCs/>
          <w:sz w:val="28"/>
          <w:szCs w:val="28"/>
          <w:highlight w:val="none"/>
        </w:rPr>
        <w:t>项目资金筹措计划表</w:t>
      </w:r>
    </w:p>
    <w:p>
      <w:pPr>
        <w:jc w:val="right"/>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单位：万元</w:t>
      </w:r>
    </w:p>
    <w:tbl>
      <w:tblPr>
        <w:tblStyle w:val="21"/>
        <w:tblW w:w="8299" w:type="dxa"/>
        <w:tblInd w:w="93" w:type="dxa"/>
        <w:shd w:val="clear" w:color="auto" w:fill="auto"/>
        <w:tblLayout w:type="autofit"/>
        <w:tblCellMar>
          <w:top w:w="0" w:type="dxa"/>
          <w:left w:w="108" w:type="dxa"/>
          <w:bottom w:w="0" w:type="dxa"/>
          <w:right w:w="108" w:type="dxa"/>
        </w:tblCellMar>
      </w:tblPr>
      <w:tblGrid>
        <w:gridCol w:w="2766"/>
        <w:gridCol w:w="2766"/>
        <w:gridCol w:w="2767"/>
      </w:tblGrid>
      <w:tr>
        <w:tblPrEx>
          <w:shd w:val="clear" w:color="auto" w:fill="auto"/>
          <w:tblCellMar>
            <w:top w:w="0" w:type="dxa"/>
            <w:left w:w="108" w:type="dxa"/>
            <w:bottom w:w="0" w:type="dxa"/>
            <w:right w:w="108" w:type="dxa"/>
          </w:tblCellMar>
        </w:tblPrEx>
        <w:trPr>
          <w:trHeight w:val="90" w:hRule="atLeast"/>
        </w:trPr>
        <w:tc>
          <w:tcPr>
            <w:tcW w:w="276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1"/>
                <w:szCs w:val="21"/>
                <w:u w:val="none"/>
                <w:lang w:val="en-US" w:eastAsia="zh-CN" w:bidi="ar"/>
              </w:rPr>
              <w:t>项目</w:t>
            </w:r>
          </w:p>
        </w:tc>
        <w:tc>
          <w:tcPr>
            <w:tcW w:w="2766"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1"/>
                <w:szCs w:val="21"/>
                <w:u w:val="none"/>
                <w:lang w:val="en-US" w:eastAsia="zh-CN" w:bidi="ar"/>
              </w:rPr>
              <w:t>金额</w:t>
            </w:r>
          </w:p>
        </w:tc>
        <w:tc>
          <w:tcPr>
            <w:tcW w:w="276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1"/>
                <w:szCs w:val="21"/>
                <w:u w:val="none"/>
                <w:lang w:val="en-US" w:eastAsia="zh-CN" w:bidi="ar"/>
              </w:rPr>
              <w:t>备注</w:t>
            </w:r>
          </w:p>
        </w:tc>
      </w:tr>
      <w:tr>
        <w:tblPrEx>
          <w:tblCellMar>
            <w:top w:w="0" w:type="dxa"/>
            <w:left w:w="108" w:type="dxa"/>
            <w:bottom w:w="0" w:type="dxa"/>
            <w:right w:w="108" w:type="dxa"/>
          </w:tblCellMar>
        </w:tblPrEx>
        <w:trPr>
          <w:trHeight w:val="90" w:hRule="atLeast"/>
        </w:trPr>
        <w:tc>
          <w:tcPr>
            <w:tcW w:w="276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1"/>
                <w:szCs w:val="21"/>
                <w:u w:val="none"/>
                <w:lang w:val="en-US" w:eastAsia="zh-CN" w:bidi="ar"/>
              </w:rPr>
              <w:t>资本金</w:t>
            </w:r>
          </w:p>
        </w:tc>
        <w:tc>
          <w:tcPr>
            <w:tcW w:w="27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lang w:val="en-US"/>
              </w:rPr>
            </w:pPr>
            <w:r>
              <w:rPr>
                <w:rFonts w:hint="eastAsia" w:ascii="仿宋_GB2312" w:hAnsi="仿宋_GB2312" w:eastAsia="仿宋_GB2312" w:cs="仿宋_GB2312"/>
                <w:i w:val="0"/>
                <w:iCs w:val="0"/>
                <w:color w:val="000000"/>
                <w:kern w:val="0"/>
                <w:sz w:val="21"/>
                <w:szCs w:val="21"/>
                <w:u w:val="none"/>
                <w:lang w:val="en-US" w:eastAsia="zh-CN" w:bidi="ar"/>
              </w:rPr>
              <w:t>17850</w:t>
            </w:r>
          </w:p>
        </w:tc>
        <w:tc>
          <w:tcPr>
            <w:tcW w:w="276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1"/>
                <w:szCs w:val="21"/>
                <w:u w:val="none"/>
                <w:lang w:val="en-US" w:eastAsia="zh-CN" w:bidi="ar"/>
              </w:rPr>
              <w:t>47.16%</w:t>
            </w:r>
          </w:p>
        </w:tc>
      </w:tr>
      <w:tr>
        <w:tblPrEx>
          <w:tblCellMar>
            <w:top w:w="0" w:type="dxa"/>
            <w:left w:w="108" w:type="dxa"/>
            <w:bottom w:w="0" w:type="dxa"/>
            <w:right w:w="108" w:type="dxa"/>
          </w:tblCellMar>
        </w:tblPrEx>
        <w:trPr>
          <w:trHeight w:val="90" w:hRule="atLeast"/>
        </w:trPr>
        <w:tc>
          <w:tcPr>
            <w:tcW w:w="276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1"/>
                <w:szCs w:val="21"/>
                <w:u w:val="none"/>
                <w:lang w:val="en-US" w:eastAsia="zh-CN" w:bidi="ar"/>
              </w:rPr>
              <w:t>政府专项债券</w:t>
            </w:r>
          </w:p>
        </w:tc>
        <w:tc>
          <w:tcPr>
            <w:tcW w:w="27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1"/>
                <w:szCs w:val="21"/>
                <w:u w:val="none"/>
                <w:lang w:val="en-US" w:eastAsia="zh-CN" w:bidi="ar"/>
              </w:rPr>
              <w:t>20000</w:t>
            </w:r>
          </w:p>
        </w:tc>
        <w:tc>
          <w:tcPr>
            <w:tcW w:w="276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1"/>
                <w:szCs w:val="21"/>
                <w:u w:val="none"/>
                <w:lang w:val="en-US" w:eastAsia="zh-CN" w:bidi="ar"/>
              </w:rPr>
              <w:t>52.84%</w:t>
            </w:r>
          </w:p>
        </w:tc>
      </w:tr>
      <w:tr>
        <w:tblPrEx>
          <w:tblCellMar>
            <w:top w:w="0" w:type="dxa"/>
            <w:left w:w="108" w:type="dxa"/>
            <w:bottom w:w="0" w:type="dxa"/>
            <w:right w:w="108" w:type="dxa"/>
          </w:tblCellMar>
        </w:tblPrEx>
        <w:trPr>
          <w:trHeight w:val="90" w:hRule="atLeast"/>
        </w:trPr>
        <w:tc>
          <w:tcPr>
            <w:tcW w:w="276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1"/>
                <w:szCs w:val="21"/>
                <w:u w:val="none"/>
                <w:lang w:val="en-US" w:eastAsia="zh-CN" w:bidi="ar"/>
              </w:rPr>
              <w:t>合计</w:t>
            </w:r>
          </w:p>
        </w:tc>
        <w:tc>
          <w:tcPr>
            <w:tcW w:w="27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1"/>
                <w:szCs w:val="21"/>
                <w:u w:val="none"/>
                <w:lang w:val="en-US" w:eastAsia="zh-CN" w:bidi="ar"/>
              </w:rPr>
              <w:t>37850</w:t>
            </w:r>
          </w:p>
        </w:tc>
        <w:tc>
          <w:tcPr>
            <w:tcW w:w="276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1"/>
                <w:szCs w:val="21"/>
                <w:u w:val="none"/>
                <w:lang w:val="en-US" w:eastAsia="zh-CN" w:bidi="ar"/>
              </w:rPr>
              <w:t>100%</w:t>
            </w:r>
          </w:p>
        </w:tc>
      </w:tr>
    </w:tbl>
    <w:p>
      <w:pPr>
        <w:jc w:val="center"/>
        <w:rPr>
          <w:rFonts w:hint="eastAsia" w:ascii="仿宋_GB2312" w:hAnsi="仿宋_GB2312" w:eastAsia="仿宋_GB2312" w:cs="仿宋_GB2312"/>
          <w:b w:val="0"/>
          <w:bCs w:val="0"/>
          <w:iCs/>
          <w:sz w:val="28"/>
          <w:szCs w:val="28"/>
          <w:highlight w:val="none"/>
          <w:lang w:val="en-US" w:eastAsia="zh-CN"/>
        </w:rPr>
      </w:pPr>
      <w:r>
        <w:rPr>
          <w:rFonts w:hint="eastAsia" w:ascii="仿宋_GB2312" w:hAnsi="仿宋_GB2312" w:eastAsia="仿宋_GB2312" w:cs="仿宋_GB2312"/>
          <w:b w:val="0"/>
          <w:bCs w:val="0"/>
          <w:iCs/>
          <w:sz w:val="28"/>
          <w:szCs w:val="28"/>
          <w:highlight w:val="none"/>
          <w:lang w:val="en-US" w:eastAsia="zh-CN"/>
        </w:rPr>
        <w:t>项目资金来源情况</w:t>
      </w:r>
    </w:p>
    <w:tbl>
      <w:tblPr>
        <w:tblW w:w="494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3856"/>
        <w:gridCol w:w="2004"/>
        <w:gridCol w:w="1591"/>
        <w:gridCol w:w="9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bdr w:val="none" w:color="auto" w:sz="0" w:space="0"/>
                <w:lang w:val="en-US" w:eastAsia="zh-CN" w:bidi="ar"/>
              </w:rPr>
              <w:t xml:space="preserve"> 项目资金来源情况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229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bdr w:val="none" w:color="auto" w:sz="0" w:space="0"/>
                <w:lang w:val="en-US" w:eastAsia="zh-CN" w:bidi="ar"/>
              </w:rPr>
              <w:t>资金来源</w:t>
            </w:r>
          </w:p>
        </w:tc>
        <w:tc>
          <w:tcPr>
            <w:tcW w:w="119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bdr w:val="none" w:color="auto" w:sz="0" w:space="0"/>
                <w:lang w:val="en-US" w:eastAsia="zh-CN" w:bidi="ar"/>
              </w:rPr>
              <w:t>金额(万元)</w:t>
            </w:r>
          </w:p>
        </w:tc>
        <w:tc>
          <w:tcPr>
            <w:tcW w:w="94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bdr w:val="none" w:color="auto" w:sz="0" w:space="0"/>
                <w:lang w:val="en-US" w:eastAsia="zh-CN" w:bidi="ar"/>
              </w:rPr>
              <w:t>占比</w:t>
            </w:r>
          </w:p>
        </w:tc>
        <w:tc>
          <w:tcPr>
            <w:tcW w:w="5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bdr w:val="none" w:color="auto" w:sz="0" w:space="0"/>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229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bdr w:val="none" w:color="auto" w:sz="0" w:space="0"/>
                <w:lang w:val="en-US" w:eastAsia="zh-CN" w:bidi="ar"/>
              </w:rPr>
              <w:t>估算总投资</w:t>
            </w:r>
          </w:p>
        </w:tc>
        <w:tc>
          <w:tcPr>
            <w:tcW w:w="119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bdr w:val="none" w:color="auto" w:sz="0" w:space="0"/>
                <w:lang w:val="en-US" w:eastAsia="zh-CN" w:bidi="ar"/>
              </w:rPr>
              <w:t xml:space="preserve">37,850.00 </w:t>
            </w:r>
          </w:p>
        </w:tc>
        <w:tc>
          <w:tcPr>
            <w:tcW w:w="94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bdr w:val="none" w:color="auto" w:sz="0" w:space="0"/>
                <w:lang w:val="en-US" w:eastAsia="zh-CN" w:bidi="ar"/>
              </w:rPr>
              <w:t>100.00%</w:t>
            </w:r>
          </w:p>
        </w:tc>
        <w:tc>
          <w:tcPr>
            <w:tcW w:w="573" w:type="pct"/>
            <w:tcBorders>
              <w:top w:val="single" w:color="000000" w:sz="4" w:space="0"/>
              <w:left w:val="single" w:color="000000" w:sz="4" w:space="0"/>
              <w:bottom w:val="single" w:color="000000" w:sz="4" w:space="0"/>
              <w:right w:val="single" w:color="000000" w:sz="4" w:space="0"/>
            </w:tcBorders>
            <w:shd w:val="clear"/>
            <w:vAlign w:val="top"/>
          </w:tcPr>
          <w:p>
            <w:pPr>
              <w:jc w:val="left"/>
              <w:rPr>
                <w:rFonts w:hint="eastAsia" w:ascii="仿宋_GB2312" w:hAnsi="仿宋_GB2312"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229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bdr w:val="none" w:color="auto" w:sz="0" w:space="0"/>
                <w:lang w:val="en-US" w:eastAsia="zh-CN" w:bidi="ar"/>
              </w:rPr>
              <w:t>一、资本金</w:t>
            </w:r>
          </w:p>
        </w:tc>
        <w:tc>
          <w:tcPr>
            <w:tcW w:w="1190" w:type="pct"/>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仿宋_GB2312" w:hAnsi="仿宋_GB2312" w:eastAsia="仿宋_GB2312" w:cs="仿宋_GB2312"/>
                <w:i w:val="0"/>
                <w:iCs w:val="0"/>
                <w:color w:val="000000"/>
                <w:sz w:val="21"/>
                <w:szCs w:val="21"/>
                <w:u w:val="none"/>
              </w:rPr>
            </w:pPr>
          </w:p>
        </w:tc>
        <w:tc>
          <w:tcPr>
            <w:tcW w:w="945" w:type="pct"/>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仿宋_GB2312" w:hAnsi="仿宋_GB2312" w:eastAsia="仿宋_GB2312" w:cs="仿宋_GB2312"/>
                <w:i w:val="0"/>
                <w:iCs w:val="0"/>
                <w:color w:val="000000"/>
                <w:sz w:val="21"/>
                <w:szCs w:val="21"/>
                <w:u w:val="none"/>
              </w:rPr>
            </w:pPr>
          </w:p>
        </w:tc>
        <w:tc>
          <w:tcPr>
            <w:tcW w:w="573" w:type="pct"/>
            <w:tcBorders>
              <w:top w:val="single" w:color="000000" w:sz="4" w:space="0"/>
              <w:left w:val="single" w:color="000000" w:sz="4" w:space="0"/>
              <w:bottom w:val="single" w:color="000000" w:sz="4" w:space="0"/>
              <w:right w:val="single" w:color="000000" w:sz="4" w:space="0"/>
            </w:tcBorders>
            <w:shd w:val="clear"/>
            <w:vAlign w:val="top"/>
          </w:tcPr>
          <w:p>
            <w:pPr>
              <w:jc w:val="left"/>
              <w:rPr>
                <w:rFonts w:hint="eastAsia" w:ascii="仿宋_GB2312" w:hAnsi="仿宋_GB2312"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9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ind w:firstLineChars="20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bdr w:val="none" w:color="auto" w:sz="0" w:space="0"/>
                <w:lang w:val="en-US" w:eastAsia="zh-CN" w:bidi="ar"/>
              </w:rPr>
              <w:t>(一)自有资金</w:t>
            </w:r>
          </w:p>
        </w:tc>
        <w:tc>
          <w:tcPr>
            <w:tcW w:w="119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bdr w:val="none" w:color="auto" w:sz="0" w:space="0"/>
                <w:lang w:val="en-US" w:eastAsia="zh-CN" w:bidi="ar"/>
              </w:rPr>
              <w:t xml:space="preserve">17,850.00 </w:t>
            </w:r>
          </w:p>
        </w:tc>
        <w:tc>
          <w:tcPr>
            <w:tcW w:w="94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bdr w:val="none" w:color="auto" w:sz="0" w:space="0"/>
                <w:lang w:val="en-US" w:eastAsia="zh-CN" w:bidi="ar"/>
              </w:rPr>
              <w:t>47.16%</w:t>
            </w:r>
          </w:p>
        </w:tc>
        <w:tc>
          <w:tcPr>
            <w:tcW w:w="573" w:type="pct"/>
            <w:tcBorders>
              <w:top w:val="single" w:color="000000" w:sz="4" w:space="0"/>
              <w:left w:val="single" w:color="000000" w:sz="4" w:space="0"/>
              <w:bottom w:val="single" w:color="000000" w:sz="4" w:space="0"/>
              <w:right w:val="single" w:color="000000" w:sz="4" w:space="0"/>
            </w:tcBorders>
            <w:shd w:val="clear"/>
            <w:vAlign w:val="top"/>
          </w:tcPr>
          <w:p>
            <w:pPr>
              <w:jc w:val="left"/>
              <w:rPr>
                <w:rFonts w:hint="eastAsia" w:ascii="仿宋_GB2312" w:hAnsi="仿宋_GB2312"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9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ind w:firstLineChars="20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bdr w:val="none" w:color="auto" w:sz="0" w:space="0"/>
                <w:lang w:val="en-US" w:eastAsia="zh-CN" w:bidi="ar"/>
              </w:rPr>
              <w:t>(二)专项债券</w:t>
            </w:r>
          </w:p>
        </w:tc>
        <w:tc>
          <w:tcPr>
            <w:tcW w:w="1190" w:type="pct"/>
            <w:tcBorders>
              <w:top w:val="single" w:color="000000" w:sz="4" w:space="0"/>
              <w:left w:val="single" w:color="000000" w:sz="4" w:space="0"/>
              <w:bottom w:val="single" w:color="000000" w:sz="4" w:space="0"/>
              <w:right w:val="single" w:color="000000" w:sz="4" w:space="0"/>
            </w:tcBorders>
            <w:shd w:val="clear"/>
            <w:vAlign w:val="top"/>
          </w:tcPr>
          <w:p>
            <w:pPr>
              <w:jc w:val="left"/>
              <w:rPr>
                <w:rFonts w:hint="eastAsia" w:ascii="仿宋_GB2312" w:hAnsi="仿宋_GB2312" w:eastAsia="仿宋_GB2312" w:cs="仿宋_GB2312"/>
                <w:i w:val="0"/>
                <w:iCs w:val="0"/>
                <w:color w:val="000000"/>
                <w:sz w:val="21"/>
                <w:szCs w:val="21"/>
                <w:u w:val="none"/>
              </w:rPr>
            </w:pPr>
          </w:p>
        </w:tc>
        <w:tc>
          <w:tcPr>
            <w:tcW w:w="945" w:type="pct"/>
            <w:tcBorders>
              <w:top w:val="single" w:color="000000" w:sz="4" w:space="0"/>
              <w:left w:val="single" w:color="000000" w:sz="4" w:space="0"/>
              <w:bottom w:val="single" w:color="000000" w:sz="4" w:space="0"/>
              <w:right w:val="single" w:color="000000" w:sz="4" w:space="0"/>
            </w:tcBorders>
            <w:shd w:val="clear"/>
            <w:vAlign w:val="top"/>
          </w:tcPr>
          <w:p>
            <w:pPr>
              <w:jc w:val="left"/>
              <w:rPr>
                <w:rFonts w:hint="eastAsia" w:ascii="仿宋_GB2312" w:hAnsi="仿宋_GB2312" w:eastAsia="仿宋_GB2312" w:cs="仿宋_GB2312"/>
                <w:i w:val="0"/>
                <w:iCs w:val="0"/>
                <w:color w:val="000000"/>
                <w:sz w:val="21"/>
                <w:szCs w:val="21"/>
                <w:u w:val="none"/>
              </w:rPr>
            </w:pPr>
          </w:p>
        </w:tc>
        <w:tc>
          <w:tcPr>
            <w:tcW w:w="573" w:type="pct"/>
            <w:tcBorders>
              <w:top w:val="single" w:color="000000" w:sz="4" w:space="0"/>
              <w:left w:val="single" w:color="000000" w:sz="4" w:space="0"/>
              <w:bottom w:val="single" w:color="000000" w:sz="4" w:space="0"/>
              <w:right w:val="single" w:color="000000" w:sz="4" w:space="0"/>
            </w:tcBorders>
            <w:shd w:val="clear"/>
            <w:vAlign w:val="top"/>
          </w:tcPr>
          <w:p>
            <w:pPr>
              <w:jc w:val="left"/>
              <w:rPr>
                <w:rFonts w:hint="eastAsia" w:ascii="仿宋_GB2312" w:hAnsi="仿宋_GB2312"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9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ind w:firstLineChars="20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bdr w:val="none" w:color="auto" w:sz="0" w:space="0"/>
                <w:lang w:val="en-US" w:eastAsia="zh-CN" w:bidi="ar"/>
              </w:rPr>
              <w:t>1、已发行专项债券</w:t>
            </w:r>
          </w:p>
        </w:tc>
        <w:tc>
          <w:tcPr>
            <w:tcW w:w="1190" w:type="pct"/>
            <w:tcBorders>
              <w:top w:val="single" w:color="000000" w:sz="4" w:space="0"/>
              <w:left w:val="single" w:color="000000" w:sz="4" w:space="0"/>
              <w:bottom w:val="single" w:color="000000" w:sz="4" w:space="0"/>
              <w:right w:val="single" w:color="000000" w:sz="4" w:space="0"/>
            </w:tcBorders>
            <w:shd w:val="clear"/>
            <w:vAlign w:val="top"/>
          </w:tcPr>
          <w:p>
            <w:pPr>
              <w:jc w:val="left"/>
              <w:rPr>
                <w:rFonts w:hint="eastAsia" w:ascii="仿宋_GB2312" w:hAnsi="仿宋_GB2312" w:eastAsia="仿宋_GB2312" w:cs="仿宋_GB2312"/>
                <w:i w:val="0"/>
                <w:iCs w:val="0"/>
                <w:color w:val="000000"/>
                <w:sz w:val="21"/>
                <w:szCs w:val="21"/>
                <w:u w:val="none"/>
              </w:rPr>
            </w:pPr>
          </w:p>
        </w:tc>
        <w:tc>
          <w:tcPr>
            <w:tcW w:w="945" w:type="pct"/>
            <w:tcBorders>
              <w:top w:val="single" w:color="000000" w:sz="4" w:space="0"/>
              <w:left w:val="single" w:color="000000" w:sz="4" w:space="0"/>
              <w:bottom w:val="single" w:color="000000" w:sz="4" w:space="0"/>
              <w:right w:val="single" w:color="000000" w:sz="4" w:space="0"/>
            </w:tcBorders>
            <w:shd w:val="clear"/>
            <w:vAlign w:val="top"/>
          </w:tcPr>
          <w:p>
            <w:pPr>
              <w:jc w:val="left"/>
              <w:rPr>
                <w:rFonts w:hint="eastAsia" w:ascii="仿宋_GB2312" w:hAnsi="仿宋_GB2312" w:eastAsia="仿宋_GB2312" w:cs="仿宋_GB2312"/>
                <w:i w:val="0"/>
                <w:iCs w:val="0"/>
                <w:color w:val="000000"/>
                <w:sz w:val="21"/>
                <w:szCs w:val="21"/>
                <w:u w:val="none"/>
              </w:rPr>
            </w:pPr>
          </w:p>
        </w:tc>
        <w:tc>
          <w:tcPr>
            <w:tcW w:w="573" w:type="pct"/>
            <w:tcBorders>
              <w:top w:val="single" w:color="000000" w:sz="4" w:space="0"/>
              <w:left w:val="single" w:color="000000" w:sz="4" w:space="0"/>
              <w:bottom w:val="single" w:color="000000" w:sz="4" w:space="0"/>
              <w:right w:val="single" w:color="000000" w:sz="4" w:space="0"/>
            </w:tcBorders>
            <w:shd w:val="clear"/>
            <w:vAlign w:val="top"/>
          </w:tcPr>
          <w:p>
            <w:pPr>
              <w:jc w:val="left"/>
              <w:rPr>
                <w:rFonts w:hint="eastAsia" w:ascii="仿宋_GB2312" w:hAnsi="仿宋_GB2312"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9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ind w:firstLineChars="20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bdr w:val="none" w:color="auto" w:sz="0" w:space="0"/>
                <w:lang w:val="en-US" w:eastAsia="zh-CN" w:bidi="ar"/>
              </w:rPr>
              <w:t>2、本期拟发行专项债券</w:t>
            </w:r>
          </w:p>
        </w:tc>
        <w:tc>
          <w:tcPr>
            <w:tcW w:w="1190" w:type="pct"/>
            <w:tcBorders>
              <w:top w:val="single" w:color="000000" w:sz="4" w:space="0"/>
              <w:left w:val="single" w:color="000000" w:sz="4" w:space="0"/>
              <w:bottom w:val="single" w:color="000000" w:sz="4" w:space="0"/>
              <w:right w:val="single" w:color="000000" w:sz="4" w:space="0"/>
            </w:tcBorders>
            <w:shd w:val="clear"/>
            <w:vAlign w:val="top"/>
          </w:tcPr>
          <w:p>
            <w:pPr>
              <w:jc w:val="left"/>
              <w:rPr>
                <w:rFonts w:hint="eastAsia" w:ascii="仿宋_GB2312" w:hAnsi="仿宋_GB2312" w:eastAsia="仿宋_GB2312" w:cs="仿宋_GB2312"/>
                <w:i w:val="0"/>
                <w:iCs w:val="0"/>
                <w:color w:val="000000"/>
                <w:sz w:val="21"/>
                <w:szCs w:val="21"/>
                <w:u w:val="none"/>
              </w:rPr>
            </w:pPr>
          </w:p>
        </w:tc>
        <w:tc>
          <w:tcPr>
            <w:tcW w:w="945" w:type="pct"/>
            <w:tcBorders>
              <w:top w:val="single" w:color="000000" w:sz="4" w:space="0"/>
              <w:left w:val="single" w:color="000000" w:sz="4" w:space="0"/>
              <w:bottom w:val="single" w:color="000000" w:sz="4" w:space="0"/>
              <w:right w:val="single" w:color="000000" w:sz="4" w:space="0"/>
            </w:tcBorders>
            <w:shd w:val="clear"/>
            <w:vAlign w:val="top"/>
          </w:tcPr>
          <w:p>
            <w:pPr>
              <w:jc w:val="left"/>
              <w:rPr>
                <w:rFonts w:hint="eastAsia" w:ascii="仿宋_GB2312" w:hAnsi="仿宋_GB2312" w:eastAsia="仿宋_GB2312" w:cs="仿宋_GB2312"/>
                <w:i w:val="0"/>
                <w:iCs w:val="0"/>
                <w:color w:val="000000"/>
                <w:sz w:val="21"/>
                <w:szCs w:val="21"/>
                <w:u w:val="none"/>
              </w:rPr>
            </w:pPr>
          </w:p>
        </w:tc>
        <w:tc>
          <w:tcPr>
            <w:tcW w:w="573" w:type="pct"/>
            <w:tcBorders>
              <w:top w:val="single" w:color="000000" w:sz="4" w:space="0"/>
              <w:left w:val="single" w:color="000000" w:sz="4" w:space="0"/>
              <w:bottom w:val="single" w:color="000000" w:sz="4" w:space="0"/>
              <w:right w:val="single" w:color="000000" w:sz="4" w:space="0"/>
            </w:tcBorders>
            <w:shd w:val="clear"/>
            <w:vAlign w:val="top"/>
          </w:tcPr>
          <w:p>
            <w:pPr>
              <w:jc w:val="left"/>
              <w:rPr>
                <w:rFonts w:hint="eastAsia" w:ascii="仿宋_GB2312" w:hAnsi="仿宋_GB2312"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9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ind w:firstLineChars="20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bdr w:val="none" w:color="auto" w:sz="0" w:space="0"/>
                <w:lang w:val="en-US" w:eastAsia="zh-CN" w:bidi="ar"/>
              </w:rPr>
              <w:t>3、后续拟发行专项债券</w:t>
            </w:r>
          </w:p>
        </w:tc>
        <w:tc>
          <w:tcPr>
            <w:tcW w:w="1190" w:type="pct"/>
            <w:tcBorders>
              <w:top w:val="single" w:color="000000" w:sz="4" w:space="0"/>
              <w:left w:val="single" w:color="000000" w:sz="4" w:space="0"/>
              <w:bottom w:val="single" w:color="000000" w:sz="4" w:space="0"/>
              <w:right w:val="single" w:color="000000" w:sz="4" w:space="0"/>
            </w:tcBorders>
            <w:shd w:val="clear"/>
            <w:vAlign w:val="top"/>
          </w:tcPr>
          <w:p>
            <w:pPr>
              <w:jc w:val="left"/>
              <w:rPr>
                <w:rFonts w:hint="eastAsia" w:ascii="仿宋_GB2312" w:hAnsi="仿宋_GB2312" w:eastAsia="仿宋_GB2312" w:cs="仿宋_GB2312"/>
                <w:i w:val="0"/>
                <w:iCs w:val="0"/>
                <w:color w:val="000000"/>
                <w:sz w:val="21"/>
                <w:szCs w:val="21"/>
                <w:u w:val="none"/>
              </w:rPr>
            </w:pPr>
          </w:p>
        </w:tc>
        <w:tc>
          <w:tcPr>
            <w:tcW w:w="945" w:type="pct"/>
            <w:tcBorders>
              <w:top w:val="single" w:color="000000" w:sz="4" w:space="0"/>
              <w:left w:val="single" w:color="000000" w:sz="4" w:space="0"/>
              <w:bottom w:val="single" w:color="000000" w:sz="4" w:space="0"/>
              <w:right w:val="single" w:color="000000" w:sz="4" w:space="0"/>
            </w:tcBorders>
            <w:shd w:val="clear"/>
            <w:vAlign w:val="top"/>
          </w:tcPr>
          <w:p>
            <w:pPr>
              <w:jc w:val="left"/>
              <w:rPr>
                <w:rFonts w:hint="eastAsia" w:ascii="仿宋_GB2312" w:hAnsi="仿宋_GB2312" w:eastAsia="仿宋_GB2312" w:cs="仿宋_GB2312"/>
                <w:i w:val="0"/>
                <w:iCs w:val="0"/>
                <w:color w:val="000000"/>
                <w:sz w:val="21"/>
                <w:szCs w:val="21"/>
                <w:u w:val="none"/>
              </w:rPr>
            </w:pPr>
          </w:p>
        </w:tc>
        <w:tc>
          <w:tcPr>
            <w:tcW w:w="573" w:type="pct"/>
            <w:tcBorders>
              <w:top w:val="single" w:color="000000" w:sz="4" w:space="0"/>
              <w:left w:val="single" w:color="000000" w:sz="4" w:space="0"/>
              <w:bottom w:val="single" w:color="000000" w:sz="4" w:space="0"/>
              <w:right w:val="single" w:color="000000" w:sz="4" w:space="0"/>
            </w:tcBorders>
            <w:shd w:val="clear"/>
            <w:vAlign w:val="top"/>
          </w:tcPr>
          <w:p>
            <w:pPr>
              <w:jc w:val="left"/>
              <w:rPr>
                <w:rFonts w:hint="eastAsia" w:ascii="仿宋_GB2312" w:hAnsi="仿宋_GB2312"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9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bdr w:val="none" w:color="auto" w:sz="0" w:space="0"/>
                <w:lang w:val="en-US" w:eastAsia="zh-CN" w:bidi="ar"/>
              </w:rPr>
              <w:t>二、债务资金(不含用作资本金部分)</w:t>
            </w:r>
          </w:p>
        </w:tc>
        <w:tc>
          <w:tcPr>
            <w:tcW w:w="1190" w:type="pct"/>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仿宋_GB2312" w:hAnsi="仿宋_GB2312" w:eastAsia="仿宋_GB2312" w:cs="仿宋_GB2312"/>
                <w:i w:val="0"/>
                <w:iCs w:val="0"/>
                <w:color w:val="000000"/>
                <w:sz w:val="21"/>
                <w:szCs w:val="21"/>
                <w:u w:val="none"/>
              </w:rPr>
            </w:pPr>
          </w:p>
        </w:tc>
        <w:tc>
          <w:tcPr>
            <w:tcW w:w="945" w:type="pct"/>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仿宋_GB2312" w:hAnsi="仿宋_GB2312" w:eastAsia="仿宋_GB2312" w:cs="仿宋_GB2312"/>
                <w:i w:val="0"/>
                <w:iCs w:val="0"/>
                <w:color w:val="000000"/>
                <w:sz w:val="21"/>
                <w:szCs w:val="21"/>
                <w:u w:val="none"/>
              </w:rPr>
            </w:pPr>
          </w:p>
        </w:tc>
        <w:tc>
          <w:tcPr>
            <w:tcW w:w="573" w:type="pct"/>
            <w:tcBorders>
              <w:top w:val="single" w:color="000000" w:sz="4" w:space="0"/>
              <w:left w:val="single" w:color="000000" w:sz="4" w:space="0"/>
              <w:bottom w:val="single" w:color="000000" w:sz="4" w:space="0"/>
              <w:right w:val="single" w:color="000000" w:sz="4" w:space="0"/>
            </w:tcBorders>
            <w:shd w:val="clear"/>
            <w:vAlign w:val="top"/>
          </w:tcPr>
          <w:p>
            <w:pPr>
              <w:jc w:val="left"/>
              <w:rPr>
                <w:rFonts w:hint="eastAsia" w:ascii="仿宋_GB2312" w:hAnsi="仿宋_GB2312"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229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ind w:firstLineChars="20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bdr w:val="none" w:color="auto" w:sz="0" w:space="0"/>
                <w:lang w:val="en-US" w:eastAsia="zh-CN" w:bidi="ar"/>
              </w:rPr>
              <w:t>(一)已发行专项债券</w:t>
            </w:r>
          </w:p>
        </w:tc>
        <w:tc>
          <w:tcPr>
            <w:tcW w:w="1190" w:type="pct"/>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仿宋_GB2312" w:hAnsi="仿宋_GB2312" w:eastAsia="仿宋_GB2312" w:cs="仿宋_GB2312"/>
                <w:i w:val="0"/>
                <w:iCs w:val="0"/>
                <w:color w:val="000000"/>
                <w:sz w:val="21"/>
                <w:szCs w:val="21"/>
                <w:u w:val="none"/>
              </w:rPr>
            </w:pPr>
          </w:p>
        </w:tc>
        <w:tc>
          <w:tcPr>
            <w:tcW w:w="945" w:type="pct"/>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仿宋_GB2312" w:hAnsi="仿宋_GB2312" w:eastAsia="仿宋_GB2312" w:cs="仿宋_GB2312"/>
                <w:i w:val="0"/>
                <w:iCs w:val="0"/>
                <w:color w:val="000000"/>
                <w:sz w:val="21"/>
                <w:szCs w:val="21"/>
                <w:u w:val="none"/>
              </w:rPr>
            </w:pPr>
          </w:p>
        </w:tc>
        <w:tc>
          <w:tcPr>
            <w:tcW w:w="573" w:type="pct"/>
            <w:tcBorders>
              <w:top w:val="single" w:color="000000" w:sz="4" w:space="0"/>
              <w:left w:val="single" w:color="000000" w:sz="4" w:space="0"/>
              <w:bottom w:val="single" w:color="000000" w:sz="4" w:space="0"/>
              <w:right w:val="single" w:color="000000" w:sz="4" w:space="0"/>
            </w:tcBorders>
            <w:shd w:val="clear"/>
            <w:vAlign w:val="top"/>
          </w:tcPr>
          <w:p>
            <w:pPr>
              <w:jc w:val="left"/>
              <w:rPr>
                <w:rFonts w:hint="eastAsia" w:ascii="仿宋_GB2312" w:hAnsi="仿宋_GB2312"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9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ind w:firstLineChars="20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bdr w:val="none" w:color="auto" w:sz="0" w:space="0"/>
                <w:lang w:val="en-US" w:eastAsia="zh-CN" w:bidi="ar"/>
              </w:rPr>
              <w:t>(二)本期拟发行专项债券</w:t>
            </w:r>
          </w:p>
        </w:tc>
        <w:tc>
          <w:tcPr>
            <w:tcW w:w="119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bdr w:val="none" w:color="auto" w:sz="0" w:space="0"/>
                <w:lang w:val="en-US" w:eastAsia="zh-CN" w:bidi="ar"/>
              </w:rPr>
              <w:t xml:space="preserve">20,000.00 </w:t>
            </w:r>
          </w:p>
        </w:tc>
        <w:tc>
          <w:tcPr>
            <w:tcW w:w="94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bdr w:val="none" w:color="auto" w:sz="0" w:space="0"/>
                <w:lang w:val="en-US" w:eastAsia="zh-CN" w:bidi="ar"/>
              </w:rPr>
              <w:t>52.84%</w:t>
            </w:r>
          </w:p>
        </w:tc>
        <w:tc>
          <w:tcPr>
            <w:tcW w:w="573" w:type="pct"/>
            <w:tcBorders>
              <w:top w:val="single" w:color="000000" w:sz="4" w:space="0"/>
              <w:left w:val="single" w:color="000000" w:sz="4" w:space="0"/>
              <w:bottom w:val="single" w:color="000000" w:sz="4" w:space="0"/>
              <w:right w:val="single" w:color="000000" w:sz="4" w:space="0"/>
            </w:tcBorders>
            <w:shd w:val="clear"/>
            <w:vAlign w:val="top"/>
          </w:tcPr>
          <w:p>
            <w:pPr>
              <w:jc w:val="left"/>
              <w:rPr>
                <w:rFonts w:hint="eastAsia" w:ascii="仿宋_GB2312" w:hAnsi="仿宋_GB2312"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9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ind w:firstLineChars="20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bdr w:val="none" w:color="auto" w:sz="0" w:space="0"/>
                <w:lang w:val="en-US" w:eastAsia="zh-CN" w:bidi="ar"/>
              </w:rPr>
              <w:t>(三)后续拟发行专项债券</w:t>
            </w:r>
          </w:p>
        </w:tc>
        <w:tc>
          <w:tcPr>
            <w:tcW w:w="1190" w:type="pct"/>
            <w:tcBorders>
              <w:top w:val="single" w:color="000000" w:sz="4" w:space="0"/>
              <w:left w:val="single" w:color="000000" w:sz="4" w:space="0"/>
              <w:bottom w:val="single" w:color="000000" w:sz="4" w:space="0"/>
              <w:right w:val="single" w:color="000000" w:sz="4" w:space="0"/>
            </w:tcBorders>
            <w:shd w:val="clear"/>
            <w:vAlign w:val="top"/>
          </w:tcPr>
          <w:p>
            <w:pPr>
              <w:jc w:val="left"/>
              <w:rPr>
                <w:rFonts w:hint="eastAsia" w:ascii="仿宋_GB2312" w:hAnsi="仿宋_GB2312" w:eastAsia="仿宋_GB2312" w:cs="仿宋_GB2312"/>
                <w:i w:val="0"/>
                <w:iCs w:val="0"/>
                <w:color w:val="000000"/>
                <w:sz w:val="21"/>
                <w:szCs w:val="21"/>
                <w:u w:val="none"/>
              </w:rPr>
            </w:pPr>
          </w:p>
        </w:tc>
        <w:tc>
          <w:tcPr>
            <w:tcW w:w="945" w:type="pct"/>
            <w:tcBorders>
              <w:top w:val="single" w:color="000000" w:sz="4" w:space="0"/>
              <w:left w:val="single" w:color="000000" w:sz="4" w:space="0"/>
              <w:bottom w:val="single" w:color="000000" w:sz="4" w:space="0"/>
              <w:right w:val="single" w:color="000000" w:sz="4" w:space="0"/>
            </w:tcBorders>
            <w:shd w:val="clear"/>
            <w:vAlign w:val="top"/>
          </w:tcPr>
          <w:p>
            <w:pPr>
              <w:jc w:val="left"/>
              <w:rPr>
                <w:rFonts w:hint="eastAsia" w:ascii="仿宋_GB2312" w:hAnsi="仿宋_GB2312" w:eastAsia="仿宋_GB2312" w:cs="仿宋_GB2312"/>
                <w:i w:val="0"/>
                <w:iCs w:val="0"/>
                <w:color w:val="000000"/>
                <w:sz w:val="21"/>
                <w:szCs w:val="21"/>
                <w:u w:val="none"/>
              </w:rPr>
            </w:pPr>
          </w:p>
        </w:tc>
        <w:tc>
          <w:tcPr>
            <w:tcW w:w="573" w:type="pct"/>
            <w:tcBorders>
              <w:top w:val="single" w:color="000000" w:sz="4" w:space="0"/>
              <w:left w:val="single" w:color="000000" w:sz="4" w:space="0"/>
              <w:bottom w:val="single" w:color="000000" w:sz="4" w:space="0"/>
              <w:right w:val="single" w:color="000000" w:sz="4" w:space="0"/>
            </w:tcBorders>
            <w:shd w:val="clear"/>
            <w:vAlign w:val="top"/>
          </w:tcPr>
          <w:p>
            <w:pPr>
              <w:jc w:val="left"/>
              <w:rPr>
                <w:rFonts w:hint="eastAsia" w:ascii="仿宋_GB2312" w:hAnsi="仿宋_GB2312"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229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ind w:firstLineChars="20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bdr w:val="none" w:color="auto" w:sz="0" w:space="0"/>
                <w:lang w:val="en-US" w:eastAsia="zh-CN" w:bidi="ar"/>
              </w:rPr>
              <w:t>(四)银行融资</w:t>
            </w:r>
          </w:p>
        </w:tc>
        <w:tc>
          <w:tcPr>
            <w:tcW w:w="1190" w:type="pct"/>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仿宋_GB2312" w:hAnsi="仿宋_GB2312" w:eastAsia="仿宋_GB2312" w:cs="仿宋_GB2312"/>
                <w:i w:val="0"/>
                <w:iCs w:val="0"/>
                <w:color w:val="000000"/>
                <w:sz w:val="21"/>
                <w:szCs w:val="21"/>
                <w:u w:val="none"/>
              </w:rPr>
            </w:pPr>
          </w:p>
        </w:tc>
        <w:tc>
          <w:tcPr>
            <w:tcW w:w="945" w:type="pct"/>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仿宋_GB2312" w:hAnsi="仿宋_GB2312" w:eastAsia="仿宋_GB2312" w:cs="仿宋_GB2312"/>
                <w:i w:val="0"/>
                <w:iCs w:val="0"/>
                <w:color w:val="000000"/>
                <w:sz w:val="21"/>
                <w:szCs w:val="21"/>
                <w:u w:val="none"/>
              </w:rPr>
            </w:pPr>
          </w:p>
        </w:tc>
        <w:tc>
          <w:tcPr>
            <w:tcW w:w="573" w:type="pct"/>
            <w:tcBorders>
              <w:top w:val="single" w:color="000000" w:sz="4" w:space="0"/>
              <w:left w:val="single" w:color="000000" w:sz="4" w:space="0"/>
              <w:bottom w:val="single" w:color="000000" w:sz="4" w:space="0"/>
              <w:right w:val="single" w:color="000000" w:sz="4" w:space="0"/>
            </w:tcBorders>
            <w:shd w:val="clear"/>
            <w:vAlign w:val="top"/>
          </w:tcPr>
          <w:p>
            <w:pPr>
              <w:jc w:val="left"/>
              <w:rPr>
                <w:rFonts w:hint="eastAsia" w:ascii="仿宋_GB2312" w:hAnsi="仿宋_GB2312" w:eastAsia="仿宋_GB2312" w:cs="仿宋_GB2312"/>
                <w:i w:val="0"/>
                <w:iCs w:val="0"/>
                <w:color w:val="000000"/>
                <w:sz w:val="21"/>
                <w:szCs w:val="21"/>
                <w:u w:val="none"/>
              </w:rPr>
            </w:pPr>
          </w:p>
        </w:tc>
      </w:tr>
    </w:tbl>
    <w:p>
      <w:pPr>
        <w:pStyle w:val="2"/>
        <w:rPr>
          <w:rFonts w:hint="eastAsia"/>
          <w:lang w:val="en-US" w:eastAsia="zh-CN"/>
        </w:rPr>
      </w:pPr>
    </w:p>
    <w:p>
      <w:pPr>
        <w:keepNext w:val="0"/>
        <w:keepLines w:val="0"/>
        <w:pageBreakBefore w:val="0"/>
        <w:numPr>
          <w:ilvl w:val="0"/>
          <w:numId w:val="0"/>
        </w:numPr>
        <w:kinsoku/>
        <w:wordWrap/>
        <w:overflowPunct/>
        <w:topLinePunct w:val="0"/>
        <w:autoSpaceDE/>
        <w:autoSpaceDN/>
        <w:bidi w:val="0"/>
        <w:spacing w:line="240" w:lineRule="auto"/>
        <w:ind w:firstLine="560" w:firstLineChars="200"/>
        <w:textAlignment w:val="auto"/>
        <w:outlineLvl w:val="1"/>
        <w:rPr>
          <w:rFonts w:hint="eastAsia" w:ascii="仿宋_GB2312" w:hAnsi="仿宋_GB2312" w:eastAsia="仿宋_GB2312" w:cs="仿宋_GB2312"/>
          <w:b w:val="0"/>
          <w:bCs w:val="0"/>
          <w:color w:val="000000"/>
          <w:sz w:val="28"/>
          <w:szCs w:val="28"/>
          <w:highlight w:val="yellow"/>
          <w:lang w:val="en-US" w:eastAsia="zh-CN"/>
        </w:rPr>
      </w:pPr>
      <w:r>
        <w:rPr>
          <w:rFonts w:hint="eastAsia" w:ascii="仿宋_GB2312" w:hAnsi="仿宋_GB2312" w:eastAsia="仿宋_GB2312" w:cs="仿宋_GB2312"/>
          <w:b w:val="0"/>
          <w:bCs w:val="0"/>
          <w:color w:val="000000"/>
          <w:sz w:val="28"/>
          <w:szCs w:val="28"/>
          <w:lang w:val="en-US" w:eastAsia="zh-CN"/>
        </w:rPr>
        <w:t>综上，本期拟</w:t>
      </w:r>
      <w:r>
        <w:rPr>
          <w:rFonts w:hint="eastAsia" w:ascii="仿宋_GB2312" w:hAnsi="仿宋_GB2312" w:eastAsia="仿宋_GB2312" w:cs="仿宋_GB2312"/>
          <w:sz w:val="28"/>
          <w:szCs w:val="28"/>
        </w:rPr>
        <w:t>发行专项债券</w:t>
      </w:r>
      <w:r>
        <w:rPr>
          <w:rFonts w:hint="eastAsia" w:ascii="仿宋_GB2312" w:hAnsi="仿宋_GB2312" w:eastAsia="仿宋_GB2312" w:cs="仿宋_GB2312"/>
          <w:b w:val="0"/>
          <w:bCs w:val="0"/>
          <w:color w:val="000000"/>
          <w:sz w:val="28"/>
          <w:szCs w:val="28"/>
          <w:lang w:val="en-US" w:eastAsia="zh-CN"/>
        </w:rPr>
        <w:t>金额</w:t>
      </w:r>
      <w:r>
        <w:rPr>
          <w:rFonts w:hint="eastAsia" w:ascii="仿宋_GB2312" w:hAnsi="仿宋_GB2312" w:eastAsia="仿宋_GB2312" w:cs="仿宋_GB2312"/>
          <w:sz w:val="28"/>
          <w:szCs w:val="28"/>
          <w:lang w:val="en-US" w:eastAsia="zh-CN"/>
        </w:rPr>
        <w:t>未超过</w:t>
      </w:r>
      <w:r>
        <w:rPr>
          <w:rFonts w:hint="eastAsia" w:ascii="仿宋_GB2312" w:hAnsi="仿宋_GB2312" w:eastAsia="仿宋_GB2312" w:cs="仿宋_GB2312"/>
          <w:sz w:val="28"/>
          <w:szCs w:val="28"/>
          <w:highlight w:val="none"/>
          <w:lang w:val="en-US" w:eastAsia="zh-CN"/>
        </w:rPr>
        <w:t>武安市</w:t>
      </w:r>
      <w:r>
        <w:rPr>
          <w:rFonts w:hint="eastAsia" w:ascii="仿宋_GB2312" w:hAnsi="仿宋_GB2312" w:eastAsia="仿宋_GB2312" w:cs="仿宋_GB2312"/>
          <w:sz w:val="28"/>
          <w:szCs w:val="28"/>
          <w:lang w:val="en-US" w:eastAsia="zh-CN"/>
        </w:rPr>
        <w:t>专项债券限额，符合本期政府专项债券的发行条件。</w:t>
      </w:r>
      <w:r>
        <w:rPr>
          <w:rFonts w:hint="eastAsia" w:ascii="仿宋_GB2312" w:hAnsi="仿宋_GB2312" w:eastAsia="仿宋_GB2312" w:cs="仿宋_GB2312"/>
          <w:sz w:val="28"/>
          <w:szCs w:val="28"/>
          <w:highlight w:val="none"/>
          <w:lang w:val="en-US" w:eastAsia="zh-CN"/>
        </w:rPr>
        <w:t>项目资金来源符合《国务院关于调整和完善固定资产投资项目资本金制度的通知》（国发[2019]26号）文件要求。</w:t>
      </w:r>
    </w:p>
    <w:p>
      <w:pPr>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2.项目前期工作及实施计划</w:t>
      </w:r>
    </w:p>
    <w:p>
      <w:pPr>
        <w:ind w:firstLine="560" w:firstLineChars="200"/>
        <w:rPr>
          <w:rFonts w:hint="eastAsia" w:ascii="仿宋_GB2312" w:hAnsi="仿宋_GB2312" w:eastAsia="仿宋_GB2312" w:cs="仿宋_GB2312"/>
          <w:sz w:val="28"/>
          <w:szCs w:val="28"/>
          <w:highlight w:val="green"/>
        </w:rPr>
      </w:pP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sz w:val="28"/>
          <w:szCs w:val="28"/>
          <w:highlight w:val="none"/>
        </w:rPr>
        <w:t>1）</w:t>
      </w:r>
      <w:r>
        <w:rPr>
          <w:rFonts w:hint="eastAsia" w:ascii="仿宋_GB2312" w:hAnsi="仿宋_GB2312" w:eastAsia="仿宋_GB2312" w:cs="仿宋_GB2312"/>
          <w:sz w:val="28"/>
          <w:szCs w:val="28"/>
          <w:highlight w:val="none"/>
        </w:rPr>
        <w:t>项目前期工作</w:t>
      </w:r>
    </w:p>
    <w:p>
      <w:pPr>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202</w:t>
      </w:r>
      <w:r>
        <w:rPr>
          <w:rFonts w:hint="eastAsia" w:ascii="仿宋_GB2312" w:hAnsi="仿宋_GB2312" w:eastAsia="仿宋_GB2312" w:cs="仿宋_GB2312"/>
          <w:color w:val="000000"/>
          <w:sz w:val="28"/>
          <w:szCs w:val="28"/>
          <w:highlight w:val="none"/>
          <w:lang w:val="en-US" w:eastAsia="zh-CN"/>
        </w:rPr>
        <w:t>2</w:t>
      </w:r>
      <w:r>
        <w:rPr>
          <w:rFonts w:hint="eastAsia" w:ascii="仿宋_GB2312" w:hAnsi="仿宋_GB2312" w:eastAsia="仿宋_GB2312" w:cs="仿宋_GB2312"/>
          <w:color w:val="000000"/>
          <w:sz w:val="28"/>
          <w:szCs w:val="28"/>
          <w:highlight w:val="none"/>
        </w:rPr>
        <w:t>年6月1</w:t>
      </w:r>
      <w:r>
        <w:rPr>
          <w:rFonts w:hint="eastAsia" w:ascii="仿宋_GB2312" w:hAnsi="仿宋_GB2312" w:eastAsia="仿宋_GB2312" w:cs="仿宋_GB2312"/>
          <w:color w:val="000000"/>
          <w:sz w:val="28"/>
          <w:szCs w:val="28"/>
          <w:highlight w:val="none"/>
          <w:lang w:val="en-US" w:eastAsia="zh-CN"/>
        </w:rPr>
        <w:t>1</w:t>
      </w:r>
      <w:r>
        <w:rPr>
          <w:rFonts w:hint="eastAsia" w:ascii="仿宋_GB2312" w:hAnsi="仿宋_GB2312" w:eastAsia="仿宋_GB2312" w:cs="仿宋_GB2312"/>
          <w:color w:val="000000"/>
          <w:sz w:val="28"/>
          <w:szCs w:val="28"/>
          <w:highlight w:val="none"/>
        </w:rPr>
        <w:t>日，</w:t>
      </w:r>
      <w:r>
        <w:rPr>
          <w:rFonts w:hint="eastAsia" w:ascii="仿宋_GB2312" w:hAnsi="仿宋_GB2312" w:eastAsia="仿宋_GB2312" w:cs="仿宋_GB2312"/>
          <w:color w:val="000000"/>
          <w:sz w:val="28"/>
          <w:szCs w:val="28"/>
          <w:highlight w:val="none"/>
          <w:lang w:eastAsia="zh-CN"/>
        </w:rPr>
        <w:t>武安市</w:t>
      </w:r>
      <w:r>
        <w:rPr>
          <w:rFonts w:hint="eastAsia" w:ascii="仿宋_GB2312" w:hAnsi="仿宋_GB2312" w:eastAsia="仿宋_GB2312" w:cs="仿宋_GB2312"/>
          <w:color w:val="000000"/>
          <w:sz w:val="28"/>
          <w:szCs w:val="28"/>
          <w:highlight w:val="none"/>
        </w:rPr>
        <w:t>行政审批局出具《</w:t>
      </w:r>
      <w:r>
        <w:rPr>
          <w:rFonts w:hint="eastAsia" w:ascii="仿宋_GB2312" w:hAnsi="仿宋_GB2312" w:eastAsia="仿宋_GB2312" w:cs="仿宋_GB2312"/>
          <w:color w:val="000000"/>
          <w:sz w:val="28"/>
          <w:szCs w:val="28"/>
          <w:highlight w:val="none"/>
          <w:lang w:eastAsia="zh-CN"/>
        </w:rPr>
        <w:t>武安市</w:t>
      </w:r>
      <w:r>
        <w:rPr>
          <w:rFonts w:hint="eastAsia" w:ascii="仿宋_GB2312" w:hAnsi="仿宋_GB2312" w:eastAsia="仿宋_GB2312" w:cs="仿宋_GB2312"/>
          <w:color w:val="000000"/>
          <w:sz w:val="28"/>
          <w:szCs w:val="28"/>
          <w:highlight w:val="none"/>
        </w:rPr>
        <w:t>行政审批局关于</w:t>
      </w:r>
      <w:r>
        <w:rPr>
          <w:rFonts w:hint="eastAsia" w:ascii="仿宋_GB2312" w:hAnsi="仿宋_GB2312" w:eastAsia="仿宋_GB2312" w:cs="仿宋_GB2312"/>
          <w:color w:val="000000"/>
          <w:sz w:val="28"/>
          <w:szCs w:val="28"/>
          <w:highlight w:val="none"/>
          <w:lang w:eastAsia="zh-CN"/>
        </w:rPr>
        <w:t>武安工业园区产城融合示范区基础设施建设项目(二期)</w:t>
      </w:r>
      <w:r>
        <w:rPr>
          <w:rFonts w:hint="eastAsia" w:ascii="仿宋_GB2312" w:hAnsi="仿宋_GB2312" w:eastAsia="仿宋_GB2312" w:cs="仿宋_GB2312"/>
          <w:color w:val="000000"/>
          <w:sz w:val="28"/>
          <w:szCs w:val="28"/>
          <w:highlight w:val="none"/>
        </w:rPr>
        <w:t>可行性研究报告的批复》（</w:t>
      </w:r>
      <w:r>
        <w:rPr>
          <w:rFonts w:hint="eastAsia" w:ascii="仿宋_GB2312" w:hAnsi="仿宋_GB2312" w:eastAsia="仿宋_GB2312" w:cs="仿宋_GB2312"/>
          <w:color w:val="000000"/>
          <w:sz w:val="28"/>
          <w:szCs w:val="28"/>
          <w:highlight w:val="none"/>
          <w:lang w:val="en-US" w:eastAsia="zh-CN"/>
        </w:rPr>
        <w:t>武审投批复</w:t>
      </w:r>
      <w:r>
        <w:rPr>
          <w:rFonts w:hint="eastAsia" w:ascii="仿宋_GB2312" w:hAnsi="仿宋_GB2312" w:eastAsia="仿宋_GB2312" w:cs="仿宋_GB2312"/>
          <w:color w:val="000000"/>
          <w:sz w:val="28"/>
          <w:szCs w:val="28"/>
          <w:highlight w:val="none"/>
        </w:rPr>
        <w:t>〔202</w:t>
      </w:r>
      <w:r>
        <w:rPr>
          <w:rFonts w:hint="eastAsia" w:ascii="仿宋_GB2312" w:hAnsi="仿宋_GB2312" w:eastAsia="仿宋_GB2312" w:cs="仿宋_GB2312"/>
          <w:color w:val="000000"/>
          <w:sz w:val="28"/>
          <w:szCs w:val="28"/>
          <w:highlight w:val="none"/>
          <w:lang w:val="en-US" w:eastAsia="zh-CN"/>
        </w:rPr>
        <w:t>2</w:t>
      </w:r>
      <w:r>
        <w:rPr>
          <w:rFonts w:hint="eastAsia" w:ascii="仿宋_GB2312" w:hAnsi="仿宋_GB2312" w:eastAsia="仿宋_GB2312" w:cs="仿宋_GB2312"/>
          <w:color w:val="000000"/>
          <w:sz w:val="28"/>
          <w:szCs w:val="28"/>
          <w:highlight w:val="none"/>
        </w:rPr>
        <w:t>〕</w:t>
      </w:r>
      <w:r>
        <w:rPr>
          <w:rFonts w:hint="eastAsia" w:ascii="仿宋_GB2312" w:hAnsi="仿宋_GB2312" w:eastAsia="仿宋_GB2312" w:cs="仿宋_GB2312"/>
          <w:color w:val="000000"/>
          <w:sz w:val="28"/>
          <w:szCs w:val="28"/>
          <w:highlight w:val="none"/>
          <w:lang w:val="en-US" w:eastAsia="zh-CN"/>
        </w:rPr>
        <w:t>48</w:t>
      </w:r>
      <w:r>
        <w:rPr>
          <w:rFonts w:hint="eastAsia" w:ascii="仿宋_GB2312" w:hAnsi="仿宋_GB2312" w:eastAsia="仿宋_GB2312" w:cs="仿宋_GB2312"/>
          <w:color w:val="000000"/>
          <w:sz w:val="28"/>
          <w:szCs w:val="28"/>
          <w:highlight w:val="none"/>
        </w:rPr>
        <w:t>号）。</w:t>
      </w:r>
    </w:p>
    <w:p>
      <w:pPr>
        <w:ind w:firstLine="560" w:firstLineChars="200"/>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本期专项债券募集资金拟投资的项目已取得有关部门的审批手续，项目符合产业政策及地区发展规划；本期专项债券涉及项目已经取得有关建设批文，项目合法合规，符合国家的产业政策。</w:t>
      </w:r>
    </w:p>
    <w:p>
      <w:pPr>
        <w:spacing w:line="54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（2）</w:t>
      </w:r>
      <w:r>
        <w:rPr>
          <w:rFonts w:hint="eastAsia" w:ascii="仿宋_GB2312" w:hAnsi="仿宋_GB2312" w:eastAsia="仿宋_GB2312" w:cs="仿宋_GB2312"/>
          <w:sz w:val="28"/>
          <w:szCs w:val="28"/>
        </w:rPr>
        <w:t>项目实施计划</w:t>
      </w:r>
    </w:p>
    <w:p>
      <w:pPr>
        <w:ind w:firstLine="560" w:firstLineChars="200"/>
        <w:outlineLvl w:val="2"/>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为了加快建设进度，尽快建成投入使用，建设单位在项目筹划和实施过程中的各环节，采取有效措施，做好项目的统筹运作，按照规划设计环环扣紧，保证项目按照预期方案顺利实施。项目实施进度计划安排：</w:t>
      </w:r>
    </w:p>
    <w:p>
      <w:pPr>
        <w:ind w:firstLine="560" w:firstLineChars="200"/>
        <w:outlineLvl w:val="2"/>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本项目建设周期拟定24个月，自2022年8月至2024年7月。2022年7月前完成项目审批、施工图设计及招投标等前期准备工作，2022年8开工至2024年7月完成项目工程施工建设2024年8月竣工验收交付使用。</w:t>
      </w:r>
    </w:p>
    <w:p>
      <w:pPr>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资金使用计划</w:t>
      </w:r>
    </w:p>
    <w:p>
      <w:pPr>
        <w:ind w:firstLine="560" w:firstLineChars="200"/>
        <w:rPr>
          <w:rFonts w:hint="eastAsia" w:ascii="仿宋_GB2312" w:hAnsi="仿宋_GB2312" w:eastAsia="仿宋_GB2312" w:cs="仿宋_GB2312"/>
          <w:color w:val="000000"/>
          <w:sz w:val="28"/>
          <w:szCs w:val="28"/>
          <w:lang w:val="en-US" w:eastAsia="zh-CN"/>
        </w:rPr>
      </w:pPr>
      <w:bookmarkStart w:id="0" w:name="_Hlk17878150"/>
      <w:r>
        <w:rPr>
          <w:rFonts w:hint="eastAsia" w:ascii="仿宋_GB2312" w:hAnsi="仿宋_GB2312" w:eastAsia="仿宋_GB2312" w:cs="仿宋_GB2312"/>
          <w:color w:val="000000"/>
          <w:sz w:val="28"/>
          <w:szCs w:val="28"/>
          <w:lang w:val="en-US" w:eastAsia="zh-CN"/>
        </w:rPr>
        <w:t>本项目总投资37850万元，拟申请专项债券金额为20000万元，计划于2023年全部使用完毕。</w:t>
      </w:r>
      <w:bookmarkEnd w:id="0"/>
    </w:p>
    <w:p>
      <w:pPr>
        <w:ind w:firstLine="560" w:firstLineChars="200"/>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w:t>
      </w:r>
      <w:r>
        <w:rPr>
          <w:rFonts w:hint="eastAsia" w:ascii="仿宋_GB2312" w:hAnsi="仿宋_GB2312" w:eastAsia="仿宋_GB2312" w:cs="仿宋_GB2312"/>
          <w:sz w:val="28"/>
          <w:szCs w:val="28"/>
          <w:lang w:val="en-US" w:eastAsia="zh-CN"/>
        </w:rPr>
        <w:t>债券</w:t>
      </w:r>
      <w:r>
        <w:rPr>
          <w:rFonts w:hint="eastAsia" w:ascii="仿宋_GB2312" w:hAnsi="仿宋_GB2312" w:eastAsia="仿宋_GB2312" w:cs="仿宋_GB2312"/>
          <w:sz w:val="28"/>
          <w:szCs w:val="28"/>
        </w:rPr>
        <w:t>资金使用计划表</w:t>
      </w:r>
    </w:p>
    <w:p>
      <w:pPr>
        <w:ind w:firstLine="480" w:firstLineChars="200"/>
        <w:jc w:val="right"/>
        <w:outlineLvl w:val="1"/>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单位：万元</w:t>
      </w:r>
    </w:p>
    <w:tbl>
      <w:tblPr>
        <w:tblStyle w:val="21"/>
        <w:tblW w:w="8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5"/>
        <w:gridCol w:w="2404"/>
        <w:gridCol w:w="2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115" w:type="dxa"/>
            <w:vAlign w:val="center"/>
          </w:tcPr>
          <w:p>
            <w:pPr>
              <w:jc w:val="center"/>
              <w:rPr>
                <w:rFonts w:hint="eastAsia" w:ascii="仿宋_GB2312" w:hAnsi="仿宋_GB2312" w:eastAsia="仿宋_GB2312" w:cs="仿宋_GB2312"/>
                <w:i w:val="0"/>
                <w:iCs/>
                <w:sz w:val="21"/>
                <w:szCs w:val="21"/>
              </w:rPr>
            </w:pPr>
            <w:r>
              <w:rPr>
                <w:rFonts w:hint="eastAsia" w:ascii="仿宋_GB2312" w:hAnsi="仿宋_GB2312" w:eastAsia="仿宋_GB2312" w:cs="仿宋_GB2312"/>
                <w:i w:val="0"/>
                <w:iCs/>
                <w:sz w:val="21"/>
                <w:szCs w:val="21"/>
                <w:lang w:val="en-US" w:eastAsia="zh-CN"/>
              </w:rPr>
              <w:t>项目</w:t>
            </w:r>
          </w:p>
        </w:tc>
        <w:tc>
          <w:tcPr>
            <w:tcW w:w="2404" w:type="dxa"/>
            <w:shd w:val="clear" w:color="auto" w:fill="auto"/>
            <w:noWrap/>
            <w:vAlign w:val="center"/>
          </w:tcPr>
          <w:p>
            <w:pPr>
              <w:jc w:val="center"/>
              <w:rPr>
                <w:rFonts w:hint="eastAsia" w:ascii="仿宋_GB2312" w:hAnsi="仿宋_GB2312" w:eastAsia="仿宋_GB2312" w:cs="仿宋_GB2312"/>
                <w:i w:val="0"/>
                <w:iCs/>
                <w:sz w:val="21"/>
                <w:szCs w:val="21"/>
                <w:lang w:val="en-US" w:eastAsia="zh-CN"/>
              </w:rPr>
            </w:pPr>
            <w:r>
              <w:rPr>
                <w:rFonts w:hint="eastAsia" w:ascii="仿宋_GB2312" w:hAnsi="仿宋_GB2312" w:eastAsia="仿宋_GB2312" w:cs="仿宋_GB2312"/>
                <w:i w:val="0"/>
                <w:iCs/>
                <w:sz w:val="21"/>
                <w:szCs w:val="21"/>
                <w:lang w:val="en-US" w:eastAsia="zh-CN"/>
              </w:rPr>
              <w:t>金额</w:t>
            </w:r>
          </w:p>
        </w:tc>
        <w:tc>
          <w:tcPr>
            <w:tcW w:w="2780" w:type="dxa"/>
            <w:shd w:val="clear" w:color="auto" w:fill="auto"/>
            <w:noWrap/>
            <w:vAlign w:val="center"/>
          </w:tcPr>
          <w:p>
            <w:pPr>
              <w:jc w:val="center"/>
              <w:rPr>
                <w:rFonts w:hint="eastAsia" w:ascii="仿宋_GB2312" w:hAnsi="仿宋_GB2312" w:eastAsia="仿宋_GB2312" w:cs="仿宋_GB2312"/>
                <w:i w:val="0"/>
                <w:iCs/>
                <w:sz w:val="21"/>
                <w:szCs w:val="21"/>
                <w:lang w:val="en-US" w:eastAsia="zh-CN"/>
              </w:rPr>
            </w:pPr>
            <w:r>
              <w:rPr>
                <w:rFonts w:hint="eastAsia" w:ascii="仿宋_GB2312" w:hAnsi="仿宋_GB2312" w:eastAsia="仿宋_GB2312" w:cs="仿宋_GB2312"/>
                <w:i w:val="0"/>
                <w:iCs/>
                <w:sz w:val="21"/>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115" w:type="dxa"/>
            <w:shd w:val="clear" w:color="auto" w:fill="auto"/>
            <w:noWrap/>
            <w:vAlign w:val="center"/>
          </w:tcPr>
          <w:p>
            <w:pPr>
              <w:jc w:val="center"/>
              <w:rPr>
                <w:rFonts w:hint="eastAsia" w:ascii="仿宋_GB2312" w:hAnsi="仿宋_GB2312" w:eastAsia="仿宋_GB2312" w:cs="仿宋_GB2312"/>
                <w:i w:val="0"/>
                <w:iCs/>
                <w:sz w:val="21"/>
                <w:szCs w:val="21"/>
              </w:rPr>
            </w:pPr>
            <w:r>
              <w:rPr>
                <w:rFonts w:hint="eastAsia" w:ascii="仿宋_GB2312" w:hAnsi="仿宋_GB2312" w:eastAsia="仿宋_GB2312" w:cs="仿宋_GB2312"/>
                <w:i w:val="0"/>
                <w:iCs/>
                <w:sz w:val="21"/>
                <w:szCs w:val="21"/>
                <w:lang w:val="en-US" w:eastAsia="zh-CN"/>
              </w:rPr>
              <w:t>政府</w:t>
            </w:r>
            <w:r>
              <w:rPr>
                <w:rFonts w:hint="eastAsia" w:ascii="仿宋_GB2312" w:hAnsi="仿宋_GB2312" w:eastAsia="仿宋_GB2312" w:cs="仿宋_GB2312"/>
                <w:i w:val="0"/>
                <w:iCs/>
                <w:sz w:val="21"/>
                <w:szCs w:val="21"/>
              </w:rPr>
              <w:t>专项债券</w:t>
            </w:r>
          </w:p>
        </w:tc>
        <w:tc>
          <w:tcPr>
            <w:tcW w:w="2404" w:type="dxa"/>
            <w:shd w:val="clear" w:color="auto" w:fill="auto"/>
            <w:noWrap/>
            <w:vAlign w:val="center"/>
          </w:tcPr>
          <w:p>
            <w:pPr>
              <w:jc w:val="center"/>
              <w:rPr>
                <w:rFonts w:hint="eastAsia" w:ascii="仿宋_GB2312" w:hAnsi="仿宋_GB2312" w:eastAsia="仿宋_GB2312" w:cs="仿宋_GB2312"/>
                <w:i w:val="0"/>
                <w:iCs/>
                <w:sz w:val="21"/>
                <w:szCs w:val="21"/>
                <w:lang w:val="en-US"/>
              </w:rPr>
            </w:pPr>
            <w:r>
              <w:rPr>
                <w:rFonts w:hint="eastAsia" w:ascii="仿宋_GB2312" w:hAnsi="仿宋_GB2312" w:eastAsia="仿宋_GB2312" w:cs="仿宋_GB2312"/>
                <w:color w:val="000000"/>
                <w:kern w:val="0"/>
                <w:sz w:val="21"/>
                <w:szCs w:val="21"/>
                <w:lang w:val="en-US" w:eastAsia="zh-CN"/>
              </w:rPr>
              <w:t>20000</w:t>
            </w:r>
          </w:p>
        </w:tc>
        <w:tc>
          <w:tcPr>
            <w:tcW w:w="2780" w:type="dxa"/>
            <w:shd w:val="clear" w:color="auto" w:fill="auto"/>
            <w:noWrap/>
            <w:vAlign w:val="center"/>
          </w:tcPr>
          <w:p>
            <w:pPr>
              <w:jc w:val="center"/>
              <w:rPr>
                <w:rFonts w:hint="eastAsia" w:ascii="仿宋_GB2312" w:hAnsi="仿宋_GB2312" w:eastAsia="仿宋_GB2312" w:cs="仿宋_GB2312"/>
                <w:i w:val="0"/>
                <w:iCs/>
                <w:sz w:val="21"/>
                <w:szCs w:val="21"/>
                <w:lang w:val="en-US" w:eastAsia="zh-CN"/>
              </w:rPr>
            </w:pPr>
            <w:r>
              <w:rPr>
                <w:rFonts w:hint="eastAsia" w:ascii="仿宋_GB2312" w:hAnsi="仿宋_GB2312" w:eastAsia="仿宋_GB2312" w:cs="仿宋_GB2312"/>
                <w:i w:val="0"/>
                <w:iCs/>
                <w:sz w:val="21"/>
                <w:szCs w:val="21"/>
                <w:lang w:val="en-US" w:eastAsia="zh-CN"/>
              </w:rPr>
              <w:t>2023年全部使用完毕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115" w:type="dxa"/>
            <w:shd w:val="clear" w:color="auto" w:fill="auto"/>
            <w:noWrap/>
            <w:vAlign w:val="center"/>
          </w:tcPr>
          <w:p>
            <w:pPr>
              <w:jc w:val="center"/>
              <w:rPr>
                <w:rFonts w:hint="eastAsia" w:ascii="仿宋_GB2312" w:hAnsi="仿宋_GB2312" w:eastAsia="仿宋_GB2312" w:cs="仿宋_GB2312"/>
                <w:i w:val="0"/>
                <w:iCs/>
                <w:sz w:val="21"/>
                <w:szCs w:val="21"/>
              </w:rPr>
            </w:pPr>
            <w:r>
              <w:rPr>
                <w:rFonts w:hint="eastAsia" w:ascii="仿宋_GB2312" w:hAnsi="仿宋_GB2312" w:eastAsia="仿宋_GB2312" w:cs="仿宋_GB2312"/>
                <w:i w:val="0"/>
                <w:iCs/>
                <w:sz w:val="21"/>
                <w:szCs w:val="21"/>
              </w:rPr>
              <w:t>合计</w:t>
            </w:r>
          </w:p>
        </w:tc>
        <w:tc>
          <w:tcPr>
            <w:tcW w:w="2404" w:type="dxa"/>
            <w:shd w:val="clear" w:color="auto" w:fill="auto"/>
            <w:noWrap/>
            <w:vAlign w:val="center"/>
          </w:tcPr>
          <w:p>
            <w:pPr>
              <w:jc w:val="center"/>
              <w:rPr>
                <w:rFonts w:hint="eastAsia" w:ascii="仿宋_GB2312" w:hAnsi="仿宋_GB2312" w:eastAsia="仿宋_GB2312" w:cs="仿宋_GB2312"/>
                <w:i w:val="0"/>
                <w:iCs/>
                <w:sz w:val="21"/>
                <w:szCs w:val="21"/>
                <w:lang w:val="en-US"/>
              </w:rPr>
            </w:pPr>
            <w:r>
              <w:rPr>
                <w:rFonts w:hint="eastAsia" w:ascii="仿宋_GB2312" w:hAnsi="仿宋_GB2312" w:eastAsia="仿宋_GB2312" w:cs="仿宋_GB2312"/>
                <w:color w:val="000000"/>
                <w:kern w:val="0"/>
                <w:sz w:val="21"/>
                <w:szCs w:val="21"/>
                <w:lang w:val="en-US" w:eastAsia="zh-CN"/>
              </w:rPr>
              <w:t>20000</w:t>
            </w:r>
          </w:p>
        </w:tc>
        <w:tc>
          <w:tcPr>
            <w:tcW w:w="2780" w:type="dxa"/>
            <w:shd w:val="clear" w:color="auto" w:fill="auto"/>
            <w:noWrap/>
            <w:vAlign w:val="center"/>
          </w:tcPr>
          <w:p>
            <w:pPr>
              <w:jc w:val="center"/>
              <w:rPr>
                <w:rFonts w:hint="eastAsia" w:ascii="仿宋_GB2312" w:hAnsi="仿宋_GB2312" w:eastAsia="仿宋_GB2312" w:cs="仿宋_GB2312"/>
                <w:i w:val="0"/>
                <w:iCs/>
                <w:sz w:val="21"/>
                <w:szCs w:val="21"/>
              </w:rPr>
            </w:pPr>
          </w:p>
        </w:tc>
      </w:tr>
    </w:tbl>
    <w:p>
      <w:pPr>
        <w:pStyle w:val="29"/>
        <w:rPr>
          <w:rFonts w:hint="eastAsia" w:ascii="仿宋_GB2312" w:hAnsi="仿宋_GB2312" w:eastAsia="仿宋_GB2312" w:cs="仿宋_GB2312"/>
        </w:rPr>
      </w:pPr>
    </w:p>
    <w:p>
      <w:pPr>
        <w:ind w:firstLine="560" w:firstLineChars="200"/>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（三）项目资金管理方案</w:t>
      </w:r>
    </w:p>
    <w:p>
      <w:pPr>
        <w:pStyle w:val="20"/>
        <w:ind w:left="0" w:leftChars="0" w:firstLine="0" w:firstLineChars="0"/>
        <w:jc w:val="center"/>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项目资金管理计划表</w:t>
      </w:r>
    </w:p>
    <w:p>
      <w:pPr>
        <w:pStyle w:val="20"/>
        <w:ind w:left="0" w:leftChars="0" w:firstLine="0" w:firstLineChars="0"/>
        <w:jc w:val="right"/>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单位：万元</w:t>
      </w:r>
    </w:p>
    <w:tbl>
      <w:tblPr>
        <w:tblStyle w:val="21"/>
        <w:tblW w:w="83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66"/>
        <w:gridCol w:w="1618"/>
        <w:gridCol w:w="1618"/>
        <w:gridCol w:w="1618"/>
        <w:gridCol w:w="16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86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项目</w:t>
            </w:r>
          </w:p>
        </w:tc>
        <w:tc>
          <w:tcPr>
            <w:tcW w:w="161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2022年</w:t>
            </w:r>
          </w:p>
        </w:tc>
        <w:tc>
          <w:tcPr>
            <w:tcW w:w="161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2023年</w:t>
            </w:r>
          </w:p>
        </w:tc>
        <w:tc>
          <w:tcPr>
            <w:tcW w:w="161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2024年</w:t>
            </w:r>
          </w:p>
        </w:tc>
        <w:tc>
          <w:tcPr>
            <w:tcW w:w="16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合计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86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一、资金流入</w:t>
            </w:r>
          </w:p>
        </w:tc>
        <w:tc>
          <w:tcPr>
            <w:tcW w:w="1618"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0"/>
                <w:szCs w:val="20"/>
                <w:u w:val="none"/>
              </w:rPr>
            </w:pPr>
          </w:p>
        </w:tc>
        <w:tc>
          <w:tcPr>
            <w:tcW w:w="1618"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0"/>
                <w:szCs w:val="20"/>
                <w:u w:val="none"/>
              </w:rPr>
            </w:pPr>
          </w:p>
        </w:tc>
        <w:tc>
          <w:tcPr>
            <w:tcW w:w="1618"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0"/>
                <w:szCs w:val="20"/>
                <w:u w:val="none"/>
              </w:rPr>
            </w:pPr>
          </w:p>
        </w:tc>
        <w:tc>
          <w:tcPr>
            <w:tcW w:w="1620"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86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政府专项债券</w:t>
            </w:r>
          </w:p>
        </w:tc>
        <w:tc>
          <w:tcPr>
            <w:tcW w:w="1618"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0"/>
                <w:szCs w:val="20"/>
                <w:u w:val="none"/>
              </w:rPr>
            </w:pPr>
          </w:p>
        </w:tc>
        <w:tc>
          <w:tcPr>
            <w:tcW w:w="161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20000</w:t>
            </w:r>
          </w:p>
        </w:tc>
        <w:tc>
          <w:tcPr>
            <w:tcW w:w="1618"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0"/>
                <w:szCs w:val="20"/>
                <w:u w:val="none"/>
              </w:rPr>
            </w:pPr>
          </w:p>
        </w:tc>
        <w:tc>
          <w:tcPr>
            <w:tcW w:w="16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86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资本金</w:t>
            </w:r>
          </w:p>
        </w:tc>
        <w:tc>
          <w:tcPr>
            <w:tcW w:w="161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5000</w:t>
            </w:r>
          </w:p>
        </w:tc>
        <w:tc>
          <w:tcPr>
            <w:tcW w:w="161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5000</w:t>
            </w:r>
          </w:p>
        </w:tc>
        <w:tc>
          <w:tcPr>
            <w:tcW w:w="161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7850</w:t>
            </w:r>
          </w:p>
        </w:tc>
        <w:tc>
          <w:tcPr>
            <w:tcW w:w="16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17850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86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合计</w:t>
            </w:r>
          </w:p>
        </w:tc>
        <w:tc>
          <w:tcPr>
            <w:tcW w:w="161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5000</w:t>
            </w:r>
          </w:p>
        </w:tc>
        <w:tc>
          <w:tcPr>
            <w:tcW w:w="161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25000</w:t>
            </w:r>
          </w:p>
        </w:tc>
        <w:tc>
          <w:tcPr>
            <w:tcW w:w="161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7850</w:t>
            </w:r>
          </w:p>
        </w:tc>
        <w:tc>
          <w:tcPr>
            <w:tcW w:w="16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37850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86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二、资金流出</w:t>
            </w:r>
          </w:p>
        </w:tc>
        <w:tc>
          <w:tcPr>
            <w:tcW w:w="1618"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0"/>
                <w:szCs w:val="20"/>
                <w:u w:val="none"/>
              </w:rPr>
            </w:pPr>
          </w:p>
        </w:tc>
        <w:tc>
          <w:tcPr>
            <w:tcW w:w="1618"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0"/>
                <w:szCs w:val="20"/>
                <w:u w:val="none"/>
              </w:rPr>
            </w:pPr>
          </w:p>
        </w:tc>
        <w:tc>
          <w:tcPr>
            <w:tcW w:w="1618"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0"/>
                <w:szCs w:val="20"/>
                <w:u w:val="none"/>
              </w:rPr>
            </w:pPr>
          </w:p>
        </w:tc>
        <w:tc>
          <w:tcPr>
            <w:tcW w:w="1620"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86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建安工程费用</w:t>
            </w:r>
          </w:p>
        </w:tc>
        <w:tc>
          <w:tcPr>
            <w:tcW w:w="161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1000</w:t>
            </w:r>
          </w:p>
        </w:tc>
        <w:tc>
          <w:tcPr>
            <w:tcW w:w="161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12000</w:t>
            </w:r>
          </w:p>
        </w:tc>
        <w:tc>
          <w:tcPr>
            <w:tcW w:w="161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3173</w:t>
            </w:r>
          </w:p>
        </w:tc>
        <w:tc>
          <w:tcPr>
            <w:tcW w:w="16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16173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86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工程建设其他费用</w:t>
            </w:r>
          </w:p>
        </w:tc>
        <w:tc>
          <w:tcPr>
            <w:tcW w:w="161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3000</w:t>
            </w:r>
          </w:p>
        </w:tc>
        <w:tc>
          <w:tcPr>
            <w:tcW w:w="161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12000</w:t>
            </w:r>
          </w:p>
        </w:tc>
        <w:tc>
          <w:tcPr>
            <w:tcW w:w="161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3873</w:t>
            </w:r>
          </w:p>
        </w:tc>
        <w:tc>
          <w:tcPr>
            <w:tcW w:w="16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18873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86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预备费</w:t>
            </w:r>
          </w:p>
        </w:tc>
        <w:tc>
          <w:tcPr>
            <w:tcW w:w="161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1000</w:t>
            </w:r>
          </w:p>
        </w:tc>
        <w:tc>
          <w:tcPr>
            <w:tcW w:w="161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1000</w:t>
            </w:r>
          </w:p>
        </w:tc>
        <w:tc>
          <w:tcPr>
            <w:tcW w:w="161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804</w:t>
            </w:r>
          </w:p>
        </w:tc>
        <w:tc>
          <w:tcPr>
            <w:tcW w:w="16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2804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86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合计</w:t>
            </w:r>
          </w:p>
        </w:tc>
        <w:tc>
          <w:tcPr>
            <w:tcW w:w="161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5000</w:t>
            </w:r>
          </w:p>
        </w:tc>
        <w:tc>
          <w:tcPr>
            <w:tcW w:w="161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25000</w:t>
            </w:r>
          </w:p>
        </w:tc>
        <w:tc>
          <w:tcPr>
            <w:tcW w:w="161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7850</w:t>
            </w:r>
          </w:p>
        </w:tc>
        <w:tc>
          <w:tcPr>
            <w:tcW w:w="162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37850</w:t>
            </w:r>
          </w:p>
        </w:tc>
      </w:tr>
    </w:tbl>
    <w:p>
      <w:pPr>
        <w:pStyle w:val="20"/>
        <w:ind w:left="0" w:leftChars="0" w:firstLine="0" w:firstLineChars="0"/>
        <w:jc w:val="right"/>
        <w:rPr>
          <w:rFonts w:hint="eastAsia" w:ascii="仿宋_GB2312" w:hAnsi="仿宋_GB2312" w:eastAsia="仿宋_GB2312" w:cs="仿宋_GB2312"/>
          <w:sz w:val="24"/>
          <w:szCs w:val="24"/>
          <w:lang w:eastAsia="zh-CN"/>
        </w:rPr>
      </w:pPr>
    </w:p>
    <w:p>
      <w:pPr>
        <w:ind w:firstLine="560" w:firstLineChars="200"/>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武安市人民政府、武安市财政局、项目建设单位建立起完善的专项债券资金使用管理制度，明确各部门职责，加强债券资金使用监管，组织开发新增债券资金绩效评价工作，确保债券资金合规使用，提高债券资金使用效率，保障投资者合法权益。本项目严格执行专项债券资金专款专用的原则，将建立明确主管部门及职责，执行严格的流入管理和流出管理制度，并按照中发[2018]34号文的要求进行绩效评价，加强资金的使用与管理。</w:t>
      </w:r>
    </w:p>
    <w:p>
      <w:pPr>
        <w:ind w:firstLine="560" w:firstLineChars="200"/>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1.主管部门及职责</w:t>
      </w:r>
    </w:p>
    <w:p>
      <w:pPr>
        <w:ind w:firstLine="560" w:firstLineChars="200"/>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项目单位主要职责为负责按照项目的建设要求并根据建设任务、成本等因素，做好专项债项目的规划期限、投资计划、收益和融资平衡方案、预期收入等测算，做好本项目专项债券年度项目库与政府债务管理体系的衔接，配合做好专项债券发行各项准备工作，加强对项目实施情况的监控，并统筹协调相关部门保障项目建设进度，如期实现专项收入。</w:t>
      </w:r>
    </w:p>
    <w:p>
      <w:pPr>
        <w:ind w:firstLine="560" w:firstLineChars="200"/>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2.资金流入管理</w:t>
      </w:r>
    </w:p>
    <w:p>
      <w:pPr>
        <w:ind w:firstLine="560" w:firstLineChars="200"/>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项目资金流入主要包括债券资金和项目收入流入。本项目专项债券资金武安市财政统一管理，专账核算，专款专用，不得挪用。或者在商业银行开立独立于日常经营账户的债券资金管理专用账户(以下简称债券资金专户),用于专项债券募集资金的接收、存储及划转。本项目收入专款专用，用于本项目债券本息的偿付。</w:t>
      </w:r>
    </w:p>
    <w:p>
      <w:pPr>
        <w:ind w:firstLine="560" w:firstLineChars="200"/>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3.资金流出管理</w:t>
      </w:r>
    </w:p>
    <w:p>
      <w:pPr>
        <w:ind w:firstLine="560" w:firstLineChars="200"/>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lang w:val="en-US" w:eastAsia="zh-CN"/>
        </w:rPr>
        <w:t>本项目资金流出主要包括项目建设投资支出、流动资金支出等投资支出、债券本息偿付和项目运营成本。关于建设投资等投资支出，负责实施的施工单位按照进度提出申请，并报送监理单位、项目单位，施工单位需如实填写专项债券资金支付审批表、已完工程量、综合单价、变更、索赔凭证、工程进度等要件，并抄送财政局、项目单位，经项目单位、财政局同意后，必要时引入第三方审计单位协助工程量及工程费用的支付，方可从专用账户中拨付资金。关于债券本息偿付，由财政组织准备需要到期支付的债券本息。</w:t>
      </w:r>
      <w:r>
        <w:rPr>
          <w:rFonts w:hint="eastAsia" w:ascii="仿宋_GB2312" w:hAnsi="仿宋_GB2312" w:eastAsia="仿宋_GB2312" w:cs="仿宋_GB2312"/>
          <w:color w:val="000000"/>
          <w:sz w:val="28"/>
          <w:szCs w:val="28"/>
          <w:highlight w:val="none"/>
          <w:lang w:val="en-US" w:eastAsia="zh-CN"/>
        </w:rPr>
        <w:t>由市财政向省财政缴纳本期应当承担的还本付息资金。项目运营成本严格按计划支出，预算外支出要上报审批。</w:t>
      </w:r>
    </w:p>
    <w:p>
      <w:pPr>
        <w:ind w:firstLine="560" w:firstLineChars="200"/>
        <w:outlineLvl w:val="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4.资金预算绩效评价</w:t>
      </w:r>
    </w:p>
    <w:p>
      <w:pPr>
        <w:ind w:firstLine="560" w:firstLineChars="200"/>
        <w:outlineLvl w:val="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武安市财政局按照财政部印发《地方政府专项债券项目资金绩效管理办法》财预[2021]61号文的要求，加强地方政府专项债券项目资金绩效管理，提高专项债券资金使用效益，有效防范政府债务风险，将专项债券资金的使用纳入到项目主</w:t>
      </w:r>
      <w:r>
        <w:rPr>
          <w:rFonts w:hint="eastAsia" w:ascii="仿宋_GB2312" w:hAnsi="仿宋_GB2312" w:eastAsia="仿宋_GB2312" w:cs="仿宋_GB2312"/>
          <w:color w:val="000000"/>
          <w:sz w:val="28"/>
          <w:szCs w:val="28"/>
          <w:highlight w:val="none"/>
          <w:lang w:val="en-US" w:eastAsia="zh-CN"/>
        </w:rPr>
        <w:t>管单位的绩效评价范围之内。根据邯郸市卓宁资产评估事务所（普通合伙）出具的《事前绩效评估报告》对本项目进行事前绩效评估，认为</w:t>
      </w:r>
      <w:r>
        <w:rPr>
          <w:rFonts w:hint="eastAsia" w:ascii="仿宋_GB2312" w:hAnsi="仿宋_GB2312" w:eastAsia="仿宋_GB2312" w:cs="仿宋_GB2312"/>
          <w:color w:val="000000"/>
          <w:sz w:val="28"/>
          <w:szCs w:val="28"/>
          <w:lang w:val="en-US" w:eastAsia="zh-CN"/>
        </w:rPr>
        <w:t>本项目申请专项债券资金支持是非常必要和可行的</w:t>
      </w:r>
      <w:r>
        <w:rPr>
          <w:rFonts w:hint="eastAsia" w:ascii="仿宋_GB2312" w:hAnsi="仿宋_GB2312" w:eastAsia="仿宋_GB2312" w:cs="仿宋_GB2312"/>
          <w:color w:val="000000"/>
          <w:sz w:val="28"/>
          <w:szCs w:val="28"/>
        </w:rPr>
        <w:t>。</w:t>
      </w:r>
    </w:p>
    <w:p>
      <w:pPr>
        <w:pStyle w:val="20"/>
        <w:rPr>
          <w:rFonts w:hint="eastAsia"/>
          <w:lang w:val="en-US" w:eastAsia="zh-CN"/>
        </w:rPr>
      </w:pPr>
    </w:p>
    <w:p>
      <w:pPr>
        <w:ind w:firstLine="562" w:firstLineChars="200"/>
        <w:outlineLvl w:val="9"/>
        <w:rPr>
          <w:rFonts w:hint="eastAsia"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lang w:val="en-US" w:eastAsia="zh-CN"/>
        </w:rPr>
        <w:t>六</w:t>
      </w: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highlight w:val="none"/>
          <w:lang w:val="en-US" w:eastAsia="zh-CN"/>
        </w:rPr>
        <w:t>事前绩效评估</w:t>
      </w:r>
    </w:p>
    <w:p>
      <w:pPr>
        <w:widowControl w:val="0"/>
        <w:numPr>
          <w:ilvl w:val="0"/>
          <w:numId w:val="0"/>
        </w:numPr>
        <w:ind w:firstLine="562" w:firstLineChars="200"/>
        <w:jc w:val="both"/>
        <w:outlineLvl w:val="1"/>
        <w:rPr>
          <w:rFonts w:hint="eastAsia"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（一）事前绩效评估情况</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sz w:val="28"/>
          <w:szCs w:val="28"/>
          <w:highlight w:val="none"/>
        </w:rPr>
        <w:t>为贯彻落实《财政部关于印发&lt;地方政府专项债券项目资金绩效管理办法&gt;的通知》（财预[2021]61号）、《河北省财政厅关于印发&lt;河北省政府专项债券项目资金绩效管理办法&gt;的通知》（冀财债[2021]41号）文件要求，</w:t>
      </w:r>
      <w:r>
        <w:rPr>
          <w:rFonts w:hint="eastAsia" w:ascii="仿宋_GB2312" w:hAnsi="仿宋_GB2312" w:eastAsia="仿宋_GB2312" w:cs="仿宋_GB2312"/>
          <w:sz w:val="28"/>
          <w:szCs w:val="28"/>
          <w:highlight w:val="none"/>
          <w:lang w:eastAsia="zh-CN"/>
        </w:rPr>
        <w:t>武安工业园区产城融合示范区基础设施建设项目(二期)</w:t>
      </w:r>
      <w:r>
        <w:rPr>
          <w:rFonts w:hint="eastAsia" w:ascii="仿宋_GB2312" w:hAnsi="仿宋_GB2312" w:eastAsia="仿宋_GB2312" w:cs="仿宋_GB2312"/>
          <w:sz w:val="28"/>
          <w:szCs w:val="28"/>
          <w:highlight w:val="none"/>
        </w:rPr>
        <w:t>单位</w:t>
      </w:r>
      <w:r>
        <w:rPr>
          <w:rFonts w:hint="eastAsia" w:ascii="仿宋_GB2312" w:hAnsi="仿宋_GB2312" w:eastAsia="仿宋_GB2312" w:cs="仿宋_GB2312"/>
          <w:sz w:val="28"/>
          <w:szCs w:val="28"/>
          <w:highlight w:val="none"/>
          <w:lang w:eastAsia="zh-CN"/>
        </w:rPr>
        <w:t>河北武安工业园区管理委员会</w:t>
      </w:r>
      <w:r>
        <w:rPr>
          <w:rFonts w:hint="eastAsia" w:ascii="仿宋_GB2312" w:hAnsi="仿宋_GB2312" w:eastAsia="仿宋_GB2312" w:cs="仿宋_GB2312"/>
          <w:sz w:val="28"/>
          <w:szCs w:val="28"/>
          <w:highlight w:val="none"/>
        </w:rPr>
        <w:t>在申请专项债券资金前，已组织开展事前绩效评估工作并对项目申请专项债券资金支持的必要性和可行性进行论证，初步判断本项目：</w:t>
      </w:r>
    </w:p>
    <w:p>
      <w:pPr>
        <w:numPr>
          <w:ilvl w:val="0"/>
          <w:numId w:val="3"/>
        </w:numPr>
        <w:ind w:firstLine="630" w:firstLineChars="225"/>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color w:val="auto"/>
          <w:sz w:val="28"/>
          <w:szCs w:val="28"/>
          <w:highlight w:val="none"/>
          <w:lang w:val="en-US" w:eastAsia="zh-CN"/>
        </w:rPr>
        <w:t>项目实施的必要性、公益性及收益性</w:t>
      </w:r>
      <w:r>
        <w:rPr>
          <w:rFonts w:hint="eastAsia" w:ascii="仿宋_GB2312" w:hAnsi="仿宋_GB2312" w:eastAsia="仿宋_GB2312" w:cs="仿宋_GB2312"/>
          <w:sz w:val="28"/>
          <w:szCs w:val="28"/>
          <w:lang w:val="en-US" w:eastAsia="zh-CN"/>
        </w:rPr>
        <w:t>。</w:t>
      </w:r>
    </w:p>
    <w:p>
      <w:pPr>
        <w:ind w:firstLine="630" w:firstLineChars="22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根据《武安市城乡总体规划(2013-2030年)》，中心城区建设将实施“东接、西扩、南延、北拓、中改”发展战略，2020年，中心城区人口50万，建设用地达55万平方公里，至2030年，中心城区人口55万，建设用地达60万平方公里。</w:t>
      </w:r>
    </w:p>
    <w:p>
      <w:pPr>
        <w:ind w:firstLine="630" w:firstLineChars="22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武安工业园区地接邯郸市复兴区，是邯郸或外地客商进来武安 的必经之地，当前正值武安市园区创建国家级经济开发区的重要阶 段，按照 “产城融合，宜居宜业宜游”的工作思路，扩大建设区域，推动产城融合发展，通过建设东部产城融合创新区，加快高新技术产业、战略性新兴产业集聚,拉开城市东部发展框架,完善基础设施功能,以产业化促进城市化,以城市化推进产业化,实现城市建设与产业发展的良性互动。</w:t>
      </w:r>
    </w:p>
    <w:p>
      <w:pPr>
        <w:ind w:firstLine="630" w:firstLineChars="22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根据武安市委、市政府关于加快东部产城融合示范区建设的总 体要求，将东部产城融合创新区打造成战略性新兴产业先行区、政 产学研一体化发展示范区和城市发展副中心，助推武安市转型发展、绿色发展、创新发展、城乡融合发展、与邯郸市主城区一体化发展提供有力支撑。</w:t>
      </w:r>
    </w:p>
    <w:p>
      <w:pPr>
        <w:ind w:firstLine="630" w:firstLineChars="22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本着“拉开东部框架、完善基础设施、创新示范引领、产城融合发展”的思路，大力实施东部产城融合创新区建设，实现东部新城 “工业+商业+居住+公益性事业+康养旅游”综合型整体发展，提升东部产城融合能级水平，为建设富强文明美丽幸福的现代化中等城市奠定坚实基础。</w:t>
      </w:r>
    </w:p>
    <w:p>
      <w:pPr>
        <w:ind w:firstLine="630" w:firstLineChars="22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根据《河北武安工业园区控制性详细规划》( 2013年) ，本项目为规划新建的产城融合示范区与主城区连接主干道，起点为武安 市东环路，终点为曹公大街，道路全长1626.15m,道路控制红线宽度 70m，绿线控制宽度为110m。主要建设内容包含道路及给排水、供热、燃气、电力及附属工程等。</w:t>
      </w:r>
    </w:p>
    <w:p>
      <w:pPr>
        <w:ind w:firstLine="630" w:firstLineChars="22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综上，本项目的建设是很有必要的。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highlight w:val="none"/>
          <w:lang w:val="zh-CN" w:eastAsia="zh-CN"/>
        </w:rPr>
      </w:pPr>
      <w:r>
        <w:rPr>
          <w:rFonts w:hint="eastAsia" w:ascii="仿宋_GB2312" w:hAnsi="仿宋_GB2312" w:eastAsia="仿宋_GB2312" w:cs="仿宋_GB2312"/>
          <w:kern w:val="2"/>
          <w:sz w:val="28"/>
          <w:szCs w:val="28"/>
          <w:highlight w:val="none"/>
          <w:lang w:val="en-US" w:eastAsia="zh-CN" w:bidi="ar-SA"/>
        </w:rPr>
        <w:t>（2）</w:t>
      </w:r>
      <w:r>
        <w:rPr>
          <w:rFonts w:hint="eastAsia" w:ascii="仿宋_GB2312" w:hAnsi="仿宋_GB2312" w:eastAsia="仿宋_GB2312" w:cs="仿宋_GB2312"/>
          <w:kern w:val="2"/>
          <w:sz w:val="28"/>
          <w:szCs w:val="28"/>
          <w:highlight w:val="none"/>
          <w:lang w:val="zh-CN" w:eastAsia="zh-CN" w:bidi="ar-SA"/>
        </w:rPr>
        <w:t>项目实施的公益性。</w:t>
      </w:r>
      <w:r>
        <w:rPr>
          <w:rFonts w:hint="eastAsia" w:ascii="仿宋_GB2312" w:hAnsi="仿宋_GB2312" w:eastAsia="仿宋_GB2312" w:cs="仿宋_GB2312"/>
          <w:sz w:val="28"/>
          <w:szCs w:val="28"/>
          <w:highlight w:val="none"/>
          <w:lang w:val="zh-CN" w:eastAsia="zh-CN"/>
        </w:rPr>
        <w:t>“公益性项目”是指为社会公共利益服务、不以盈利为目的，且不能或不宜通过市场化方式运作的政府投资项目，如市政道路、公共交通等基础设施项目，以及公共卫生、基础科研、义务教育、保障性安居工程等基本建设项目。本项目符合我国相关产业政策，具有明显公益性特征。</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highlight w:val="none"/>
          <w:lang w:val="zh-CN" w:eastAsia="zh-CN"/>
        </w:rPr>
      </w:pPr>
      <w:r>
        <w:rPr>
          <w:rFonts w:hint="eastAsia" w:ascii="仿宋_GB2312" w:hAnsi="仿宋_GB2312" w:eastAsia="仿宋_GB2312" w:cs="仿宋_GB2312"/>
          <w:sz w:val="28"/>
          <w:szCs w:val="28"/>
          <w:highlight w:val="none"/>
          <w:lang w:val="zh-CN" w:eastAsia="zh-CN"/>
        </w:rPr>
        <w:t>（</w:t>
      </w:r>
      <w:r>
        <w:rPr>
          <w:rFonts w:hint="eastAsia" w:ascii="仿宋_GB2312" w:hAnsi="仿宋_GB2312" w:eastAsia="仿宋_GB2312" w:cs="仿宋_GB2312"/>
          <w:sz w:val="28"/>
          <w:szCs w:val="28"/>
          <w:highlight w:val="none"/>
          <w:lang w:val="en-US" w:eastAsia="zh-CN"/>
        </w:rPr>
        <w:t>3）</w:t>
      </w:r>
      <w:r>
        <w:rPr>
          <w:rFonts w:hint="eastAsia" w:ascii="仿宋_GB2312" w:hAnsi="仿宋_GB2312" w:eastAsia="仿宋_GB2312" w:cs="仿宋_GB2312"/>
          <w:sz w:val="28"/>
          <w:szCs w:val="28"/>
          <w:highlight w:val="none"/>
          <w:lang w:val="zh-CN" w:eastAsia="zh-CN"/>
        </w:rPr>
        <w:t>项目实施的收益性。项目建成后增加了</w:t>
      </w:r>
      <w:r>
        <w:rPr>
          <w:rFonts w:hint="eastAsia" w:ascii="仿宋_GB2312" w:hAnsi="仿宋_GB2312" w:eastAsia="仿宋_GB2312" w:cs="仿宋_GB2312"/>
          <w:color w:val="000000"/>
          <w:sz w:val="28"/>
          <w:szCs w:val="28"/>
          <w:lang w:val="en-US" w:eastAsia="zh-CN"/>
        </w:rPr>
        <w:t>政府</w:t>
      </w:r>
      <w:r>
        <w:rPr>
          <w:rFonts w:hint="eastAsia" w:ascii="仿宋_GB2312" w:hAnsi="仿宋_GB2312" w:eastAsia="仿宋_GB2312" w:cs="仿宋_GB2312"/>
          <w:color w:val="000000"/>
          <w:sz w:val="28"/>
          <w:szCs w:val="28"/>
          <w:lang w:eastAsia="zh-CN"/>
        </w:rPr>
        <w:t>收入</w:t>
      </w:r>
      <w:r>
        <w:rPr>
          <w:rFonts w:hint="eastAsia" w:ascii="仿宋_GB2312" w:hAnsi="仿宋_GB2312" w:eastAsia="仿宋_GB2312" w:cs="仿宋_GB2312"/>
          <w:sz w:val="28"/>
          <w:szCs w:val="28"/>
          <w:highlight w:val="none"/>
          <w:lang w:val="zh-CN" w:eastAsia="zh-CN"/>
        </w:rPr>
        <w:t>。从而实现项目经营收入，项目的建设具有良好的经济效益。</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highlight w:val="none"/>
          <w:lang w:val="zh-CN" w:eastAsia="zh-CN"/>
        </w:rPr>
      </w:pPr>
      <w:r>
        <w:rPr>
          <w:rFonts w:hint="eastAsia" w:ascii="仿宋_GB2312" w:hAnsi="仿宋_GB2312" w:eastAsia="仿宋_GB2312" w:cs="仿宋_GB2312"/>
          <w:sz w:val="28"/>
          <w:szCs w:val="28"/>
          <w:highlight w:val="none"/>
          <w:lang w:val="zh-CN" w:eastAsia="zh-CN"/>
        </w:rPr>
        <w:t>因此，项目实施具有必要性、公益性、收益性，符合专项债券资金支持领域。</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highlight w:val="none"/>
          <w:lang w:val="zh-CN" w:eastAsia="zh-CN"/>
        </w:rPr>
      </w:pPr>
      <w:r>
        <w:rPr>
          <w:rFonts w:hint="eastAsia" w:ascii="仿宋_GB2312" w:hAnsi="仿宋_GB2312" w:eastAsia="仿宋_GB2312" w:cs="仿宋_GB2312"/>
          <w:sz w:val="28"/>
          <w:szCs w:val="28"/>
          <w:highlight w:val="none"/>
          <w:lang w:val="zh-CN" w:eastAsia="zh-CN"/>
        </w:rPr>
        <w:t>2、项目建设投资合规性与项目成熟度。本项目的实施主体河北武安工业园区管理委员会经批准设立的具有独立法人资格且有效存续的</w:t>
      </w:r>
      <w:r>
        <w:rPr>
          <w:rFonts w:hint="eastAsia" w:ascii="仿宋_GB2312" w:hAnsi="仿宋_GB2312" w:eastAsia="仿宋_GB2312" w:cs="仿宋_GB2312"/>
          <w:sz w:val="28"/>
          <w:szCs w:val="28"/>
          <w:highlight w:val="none"/>
          <w:lang w:val="en-US" w:eastAsia="zh-CN"/>
        </w:rPr>
        <w:t>机关</w:t>
      </w:r>
      <w:r>
        <w:rPr>
          <w:rFonts w:hint="eastAsia" w:ascii="仿宋_GB2312" w:hAnsi="仿宋_GB2312" w:eastAsia="仿宋_GB2312" w:cs="仿宋_GB2312"/>
          <w:sz w:val="28"/>
          <w:szCs w:val="28"/>
          <w:highlight w:val="none"/>
          <w:lang w:val="zh-CN" w:eastAsia="zh-CN"/>
        </w:rPr>
        <w:t>法人，具有相应民事权力能力和民事行为能力；历史沿革合法合规、依法有效存续；本期专项债券涉及项目属于河北武安工业园区管理委员会的经营范围。本项目建设实施已取得</w:t>
      </w:r>
      <w:r>
        <w:rPr>
          <w:rFonts w:hint="eastAsia" w:ascii="仿宋_GB2312" w:hAnsi="仿宋_GB2312" w:eastAsia="仿宋_GB2312" w:cs="仿宋_GB2312"/>
          <w:color w:val="000000"/>
          <w:sz w:val="28"/>
          <w:szCs w:val="28"/>
          <w:highlight w:val="none"/>
          <w:lang w:eastAsia="zh-CN"/>
        </w:rPr>
        <w:t>武安市</w:t>
      </w:r>
      <w:r>
        <w:rPr>
          <w:rFonts w:hint="eastAsia" w:ascii="仿宋_GB2312" w:hAnsi="仿宋_GB2312" w:eastAsia="仿宋_GB2312" w:cs="仿宋_GB2312"/>
          <w:color w:val="000000"/>
          <w:sz w:val="28"/>
          <w:szCs w:val="28"/>
          <w:highlight w:val="none"/>
        </w:rPr>
        <w:t>行政审批局出具</w:t>
      </w:r>
      <w:r>
        <w:rPr>
          <w:rFonts w:hint="eastAsia" w:ascii="仿宋_GB2312" w:hAnsi="仿宋_GB2312" w:eastAsia="仿宋_GB2312" w:cs="仿宋_GB2312"/>
          <w:color w:val="000000"/>
          <w:sz w:val="28"/>
          <w:szCs w:val="28"/>
          <w:highlight w:val="none"/>
          <w:lang w:eastAsia="zh-CN"/>
        </w:rPr>
        <w:t>的</w:t>
      </w:r>
      <w:r>
        <w:rPr>
          <w:rFonts w:hint="eastAsia" w:ascii="仿宋_GB2312" w:hAnsi="仿宋_GB2312" w:eastAsia="仿宋_GB2312" w:cs="仿宋_GB2312"/>
          <w:color w:val="000000"/>
          <w:sz w:val="28"/>
          <w:szCs w:val="28"/>
          <w:highlight w:val="none"/>
        </w:rPr>
        <w:t>《</w:t>
      </w:r>
      <w:r>
        <w:rPr>
          <w:rFonts w:hint="eastAsia" w:ascii="仿宋_GB2312" w:hAnsi="仿宋_GB2312" w:eastAsia="仿宋_GB2312" w:cs="仿宋_GB2312"/>
          <w:color w:val="000000"/>
          <w:sz w:val="28"/>
          <w:szCs w:val="28"/>
          <w:highlight w:val="none"/>
          <w:lang w:eastAsia="zh-CN"/>
        </w:rPr>
        <w:t>武安市</w:t>
      </w:r>
      <w:r>
        <w:rPr>
          <w:rFonts w:hint="eastAsia" w:ascii="仿宋_GB2312" w:hAnsi="仿宋_GB2312" w:eastAsia="仿宋_GB2312" w:cs="仿宋_GB2312"/>
          <w:color w:val="000000"/>
          <w:sz w:val="28"/>
          <w:szCs w:val="28"/>
          <w:highlight w:val="none"/>
        </w:rPr>
        <w:t>行政审批局关于</w:t>
      </w:r>
      <w:r>
        <w:rPr>
          <w:rFonts w:hint="eastAsia" w:ascii="仿宋_GB2312" w:hAnsi="仿宋_GB2312" w:eastAsia="仿宋_GB2312" w:cs="仿宋_GB2312"/>
          <w:color w:val="000000"/>
          <w:sz w:val="28"/>
          <w:szCs w:val="28"/>
          <w:highlight w:val="none"/>
          <w:lang w:eastAsia="zh-CN"/>
        </w:rPr>
        <w:t>武安工业园区产城融合示范区基础设施建设项目(二期)</w:t>
      </w:r>
      <w:r>
        <w:rPr>
          <w:rFonts w:hint="eastAsia" w:ascii="仿宋_GB2312" w:hAnsi="仿宋_GB2312" w:eastAsia="仿宋_GB2312" w:cs="仿宋_GB2312"/>
          <w:color w:val="000000"/>
          <w:sz w:val="28"/>
          <w:szCs w:val="28"/>
          <w:highlight w:val="none"/>
        </w:rPr>
        <w:t>可行性研究报告的批复》（</w:t>
      </w:r>
      <w:r>
        <w:rPr>
          <w:rFonts w:hint="eastAsia" w:ascii="仿宋_GB2312" w:hAnsi="仿宋_GB2312" w:eastAsia="仿宋_GB2312" w:cs="仿宋_GB2312"/>
          <w:color w:val="000000"/>
          <w:sz w:val="28"/>
          <w:szCs w:val="28"/>
          <w:highlight w:val="none"/>
          <w:lang w:val="en-US" w:eastAsia="zh-CN"/>
        </w:rPr>
        <w:t>武审投批复</w:t>
      </w:r>
      <w:r>
        <w:rPr>
          <w:rFonts w:hint="eastAsia" w:ascii="仿宋_GB2312" w:hAnsi="仿宋_GB2312" w:eastAsia="仿宋_GB2312" w:cs="仿宋_GB2312"/>
          <w:color w:val="000000"/>
          <w:sz w:val="28"/>
          <w:szCs w:val="28"/>
          <w:highlight w:val="none"/>
        </w:rPr>
        <w:t>〔202</w:t>
      </w:r>
      <w:r>
        <w:rPr>
          <w:rFonts w:hint="eastAsia" w:ascii="仿宋_GB2312" w:hAnsi="仿宋_GB2312" w:eastAsia="仿宋_GB2312" w:cs="仿宋_GB2312"/>
          <w:color w:val="000000"/>
          <w:sz w:val="28"/>
          <w:szCs w:val="28"/>
          <w:highlight w:val="none"/>
          <w:lang w:val="en-US" w:eastAsia="zh-CN"/>
        </w:rPr>
        <w:t>2</w:t>
      </w:r>
      <w:r>
        <w:rPr>
          <w:rFonts w:hint="eastAsia" w:ascii="仿宋_GB2312" w:hAnsi="仿宋_GB2312" w:eastAsia="仿宋_GB2312" w:cs="仿宋_GB2312"/>
          <w:color w:val="000000"/>
          <w:sz w:val="28"/>
          <w:szCs w:val="28"/>
          <w:highlight w:val="none"/>
        </w:rPr>
        <w:t>〕</w:t>
      </w:r>
      <w:r>
        <w:rPr>
          <w:rFonts w:hint="eastAsia" w:ascii="仿宋_GB2312" w:hAnsi="仿宋_GB2312" w:eastAsia="仿宋_GB2312" w:cs="仿宋_GB2312"/>
          <w:color w:val="000000"/>
          <w:sz w:val="28"/>
          <w:szCs w:val="28"/>
          <w:highlight w:val="none"/>
          <w:lang w:val="en-US" w:eastAsia="zh-CN"/>
        </w:rPr>
        <w:t>48</w:t>
      </w:r>
      <w:r>
        <w:rPr>
          <w:rFonts w:hint="eastAsia" w:ascii="仿宋_GB2312" w:hAnsi="仿宋_GB2312" w:eastAsia="仿宋_GB2312" w:cs="仿宋_GB2312"/>
          <w:color w:val="000000"/>
          <w:sz w:val="28"/>
          <w:szCs w:val="28"/>
          <w:highlight w:val="none"/>
        </w:rPr>
        <w:t>号）</w:t>
      </w:r>
      <w:r>
        <w:rPr>
          <w:rFonts w:hint="eastAsia" w:ascii="仿宋_GB2312" w:hAnsi="仿宋_GB2312" w:eastAsia="仿宋_GB2312" w:cs="仿宋_GB2312"/>
          <w:b w:val="0"/>
          <w:bCs w:val="0"/>
          <w:sz w:val="28"/>
          <w:szCs w:val="28"/>
          <w:highlight w:val="none"/>
          <w:lang w:eastAsia="zh-CN"/>
        </w:rPr>
        <w:t>。</w:t>
      </w:r>
      <w:r>
        <w:rPr>
          <w:rFonts w:hint="eastAsia" w:ascii="仿宋_GB2312" w:hAnsi="仿宋_GB2312" w:eastAsia="仿宋_GB2312" w:cs="仿宋_GB2312"/>
          <w:sz w:val="28"/>
          <w:szCs w:val="28"/>
          <w:highlight w:val="none"/>
          <w:lang w:val="zh-CN" w:eastAsia="zh-CN"/>
        </w:rPr>
        <w:t>项目合法合规、符合国家产业政策。同时，本项目已经开展项目设计前期工作、环评评价工作、招投标工作，具有一定成熟度，施工前期工作有序进行。</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highlight w:val="none"/>
          <w:lang w:val="zh-CN" w:eastAsia="zh-CN"/>
        </w:rPr>
      </w:pPr>
      <w:r>
        <w:rPr>
          <w:rFonts w:hint="eastAsia" w:ascii="仿宋_GB2312" w:hAnsi="仿宋_GB2312" w:eastAsia="仿宋_GB2312" w:cs="仿宋_GB2312"/>
          <w:sz w:val="28"/>
          <w:szCs w:val="28"/>
          <w:highlight w:val="none"/>
          <w:lang w:val="zh-CN" w:eastAsia="zh-CN"/>
        </w:rPr>
        <w:t>3、项目资金来源和到位可行性。本项目总投资</w:t>
      </w:r>
      <w:r>
        <w:rPr>
          <w:rFonts w:hint="eastAsia" w:ascii="仿宋_GB2312" w:hAnsi="仿宋_GB2312" w:eastAsia="仿宋_GB2312" w:cs="仿宋_GB2312"/>
          <w:bCs/>
          <w:sz w:val="28"/>
          <w:szCs w:val="28"/>
          <w:lang w:val="en-US" w:eastAsia="zh-CN"/>
        </w:rPr>
        <w:t>37850</w:t>
      </w:r>
      <w:r>
        <w:rPr>
          <w:rFonts w:hint="eastAsia" w:ascii="仿宋_GB2312" w:hAnsi="仿宋_GB2312" w:eastAsia="仿宋_GB2312" w:cs="仿宋_GB2312"/>
          <w:sz w:val="28"/>
          <w:szCs w:val="28"/>
          <w:highlight w:val="none"/>
          <w:lang w:val="zh-CN" w:eastAsia="zh-CN"/>
        </w:rPr>
        <w:t>万元，</w:t>
      </w:r>
      <w:r>
        <w:rPr>
          <w:rFonts w:hint="eastAsia" w:ascii="仿宋_GB2312" w:hAnsi="仿宋_GB2312" w:eastAsia="仿宋_GB2312" w:cs="仿宋_GB2312"/>
          <w:color w:val="auto"/>
          <w:sz w:val="28"/>
          <w:szCs w:val="28"/>
          <w:lang w:val="en-US" w:eastAsia="zh-CN"/>
        </w:rPr>
        <w:t>项目本期拟申请政府专项债券20000万元，期限10年；</w:t>
      </w:r>
      <w:r>
        <w:rPr>
          <w:rFonts w:hint="eastAsia" w:ascii="仿宋_GB2312" w:hAnsi="仿宋_GB2312" w:eastAsia="仿宋_GB2312" w:cs="仿宋_GB2312"/>
          <w:sz w:val="28"/>
          <w:szCs w:val="28"/>
          <w:highlight w:val="none"/>
          <w:lang w:val="zh-CN" w:eastAsia="zh-CN"/>
        </w:rPr>
        <w:t>未超过武安市专项债券限额，符合本期政府专项债券的发行条件。项目资本金</w:t>
      </w:r>
      <w:r>
        <w:rPr>
          <w:rFonts w:hint="eastAsia" w:ascii="仿宋_GB2312" w:hAnsi="仿宋_GB2312" w:eastAsia="仿宋_GB2312" w:cs="仿宋_GB2312"/>
          <w:sz w:val="28"/>
          <w:szCs w:val="28"/>
          <w:highlight w:val="none"/>
          <w:lang w:val="en-US" w:eastAsia="zh-CN"/>
        </w:rPr>
        <w:t>17850</w:t>
      </w:r>
      <w:r>
        <w:rPr>
          <w:rFonts w:hint="eastAsia" w:ascii="仿宋_GB2312" w:hAnsi="仿宋_GB2312" w:eastAsia="仿宋_GB2312" w:cs="仿宋_GB2312"/>
          <w:sz w:val="28"/>
          <w:szCs w:val="28"/>
          <w:highlight w:val="none"/>
          <w:lang w:val="zh-CN" w:eastAsia="zh-CN"/>
        </w:rPr>
        <w:t>万元。目前，本项目已取得财政部门的资金证明。财政部门将根据项目建设进度的资金需求，逐步到位。因此，项目的资金来源、资金安排明确，具有可行性。</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highlight w:val="none"/>
          <w:lang w:val="zh-CN" w:eastAsia="zh-CN"/>
        </w:rPr>
      </w:pPr>
      <w:r>
        <w:rPr>
          <w:rFonts w:hint="eastAsia" w:ascii="仿宋_GB2312" w:hAnsi="仿宋_GB2312" w:eastAsia="仿宋_GB2312" w:cs="仿宋_GB2312"/>
          <w:sz w:val="28"/>
          <w:szCs w:val="28"/>
          <w:highlight w:val="none"/>
          <w:lang w:val="zh-CN" w:eastAsia="zh-CN"/>
        </w:rPr>
        <w:t>4、项目收入、成本、收益预测合理性。本项目的经营收入主要为</w:t>
      </w:r>
      <w:r>
        <w:rPr>
          <w:rFonts w:hint="eastAsia" w:ascii="仿宋_GB2312" w:hAnsi="仿宋_GB2312" w:eastAsia="仿宋_GB2312" w:cs="仿宋_GB2312"/>
          <w:color w:val="000000"/>
          <w:sz w:val="28"/>
          <w:szCs w:val="28"/>
          <w:lang w:val="en-US" w:eastAsia="zh-CN"/>
        </w:rPr>
        <w:t>土地出让收入和城市配套费收入</w:t>
      </w:r>
      <w:r>
        <w:rPr>
          <w:rFonts w:hint="eastAsia" w:ascii="仿宋_GB2312" w:hAnsi="仿宋_GB2312" w:eastAsia="仿宋_GB2312" w:cs="仿宋_GB2312"/>
          <w:sz w:val="28"/>
          <w:szCs w:val="28"/>
          <w:highlight w:val="none"/>
          <w:lang w:val="zh-CN" w:eastAsia="zh-CN"/>
        </w:rPr>
        <w:t>，运营期内项目运营收入为</w:t>
      </w:r>
      <w:r>
        <w:rPr>
          <w:rFonts w:hint="eastAsia" w:ascii="仿宋_GB2312" w:hAnsi="仿宋_GB2312" w:eastAsia="仿宋_GB2312" w:cs="仿宋_GB2312"/>
          <w:sz w:val="28"/>
          <w:szCs w:val="28"/>
          <w:highlight w:val="none"/>
          <w:lang w:val="en-US" w:eastAsia="zh-CN"/>
        </w:rPr>
        <w:t>173921.02</w:t>
      </w:r>
      <w:r>
        <w:rPr>
          <w:rFonts w:hint="eastAsia" w:ascii="仿宋_GB2312" w:hAnsi="仿宋_GB2312" w:eastAsia="仿宋_GB2312" w:cs="仿宋_GB2312"/>
          <w:sz w:val="28"/>
          <w:szCs w:val="28"/>
          <w:highlight w:val="none"/>
          <w:lang w:val="zh-CN" w:eastAsia="zh-CN"/>
        </w:rPr>
        <w:t>万元；本项目运营期内项目运营成本约</w:t>
      </w:r>
      <w:r>
        <w:rPr>
          <w:rFonts w:hint="eastAsia" w:ascii="仿宋_GB2312" w:hAnsi="仿宋_GB2312" w:eastAsia="仿宋_GB2312" w:cs="仿宋_GB2312"/>
          <w:sz w:val="28"/>
          <w:szCs w:val="28"/>
          <w:highlight w:val="none"/>
          <w:lang w:val="en-US" w:eastAsia="zh-CN"/>
        </w:rPr>
        <w:t>14416.77</w:t>
      </w:r>
      <w:r>
        <w:rPr>
          <w:rFonts w:hint="eastAsia" w:ascii="仿宋_GB2312" w:hAnsi="仿宋_GB2312" w:eastAsia="仿宋_GB2312" w:cs="仿宋_GB2312"/>
          <w:sz w:val="28"/>
          <w:szCs w:val="28"/>
          <w:highlight w:val="none"/>
          <w:lang w:val="zh-CN" w:eastAsia="zh-CN"/>
        </w:rPr>
        <w:t>万元，项目运营期内年运营收益约</w:t>
      </w:r>
      <w:r>
        <w:rPr>
          <w:rFonts w:hint="eastAsia" w:ascii="仿宋_GB2312" w:hAnsi="仿宋_GB2312" w:eastAsia="仿宋_GB2312" w:cs="仿宋_GB2312"/>
          <w:sz w:val="28"/>
          <w:szCs w:val="28"/>
          <w:highlight w:val="none"/>
          <w:lang w:val="en-US" w:eastAsia="zh-CN"/>
        </w:rPr>
        <w:t>159504.25</w:t>
      </w:r>
      <w:r>
        <w:rPr>
          <w:rFonts w:hint="eastAsia" w:ascii="仿宋_GB2312" w:hAnsi="仿宋_GB2312" w:eastAsia="仿宋_GB2312" w:cs="仿宋_GB2312"/>
          <w:sz w:val="28"/>
          <w:szCs w:val="28"/>
          <w:highlight w:val="none"/>
          <w:lang w:val="zh-CN" w:eastAsia="zh-CN"/>
        </w:rPr>
        <w:t>万元；项目收益情况与同类型项目无明显差异，预测具有相对合理性。</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highlight w:val="none"/>
          <w:lang w:val="zh-CN" w:eastAsia="zh-CN"/>
        </w:rPr>
      </w:pPr>
      <w:r>
        <w:rPr>
          <w:rFonts w:hint="eastAsia" w:ascii="仿宋_GB2312" w:hAnsi="仿宋_GB2312" w:eastAsia="仿宋_GB2312" w:cs="仿宋_GB2312"/>
          <w:sz w:val="28"/>
          <w:szCs w:val="28"/>
          <w:highlight w:val="none"/>
          <w:lang w:val="zh-CN" w:eastAsia="zh-CN"/>
        </w:rPr>
        <w:t>5、</w:t>
      </w:r>
      <w:r>
        <w:rPr>
          <w:rFonts w:hint="eastAsia" w:ascii="仿宋_GB2312" w:hAnsi="仿宋_GB2312" w:eastAsia="仿宋_GB2312" w:cs="仿宋_GB2312"/>
          <w:color w:val="000000"/>
          <w:sz w:val="28"/>
          <w:szCs w:val="28"/>
          <w:highlight w:val="none"/>
        </w:rPr>
        <w:t>债券资金需求合理性</w:t>
      </w:r>
      <w:r>
        <w:rPr>
          <w:rFonts w:hint="eastAsia" w:ascii="仿宋_GB2312" w:hAnsi="仿宋_GB2312" w:eastAsia="仿宋_GB2312" w:cs="仿宋_GB2312"/>
          <w:color w:val="000000"/>
          <w:sz w:val="28"/>
          <w:szCs w:val="28"/>
        </w:rPr>
        <w:t>。</w:t>
      </w:r>
      <w:r>
        <w:rPr>
          <w:rFonts w:hint="eastAsia" w:ascii="仿宋_GB2312" w:hAnsi="仿宋_GB2312" w:eastAsia="仿宋_GB2312" w:cs="仿宋_GB2312"/>
          <w:sz w:val="28"/>
          <w:szCs w:val="28"/>
          <w:highlight w:val="none"/>
          <w:lang w:val="zh-CN" w:eastAsia="zh-CN"/>
        </w:rPr>
        <w:t>本项目的总投资为</w:t>
      </w:r>
      <w:r>
        <w:rPr>
          <w:rFonts w:hint="eastAsia" w:ascii="仿宋_GB2312" w:hAnsi="仿宋_GB2312" w:eastAsia="仿宋_GB2312" w:cs="仿宋_GB2312"/>
          <w:sz w:val="28"/>
          <w:szCs w:val="28"/>
          <w:highlight w:val="none"/>
          <w:lang w:val="en-US" w:eastAsia="zh-CN"/>
        </w:rPr>
        <w:t>37850</w:t>
      </w:r>
      <w:r>
        <w:rPr>
          <w:rFonts w:hint="eastAsia" w:ascii="仿宋_GB2312" w:hAnsi="仿宋_GB2312" w:eastAsia="仿宋_GB2312" w:cs="仿宋_GB2312"/>
          <w:sz w:val="28"/>
          <w:szCs w:val="28"/>
          <w:highlight w:val="none"/>
          <w:lang w:val="zh-CN" w:eastAsia="zh-CN"/>
        </w:rPr>
        <w:t>万元，</w:t>
      </w:r>
      <w:r>
        <w:rPr>
          <w:rFonts w:hint="eastAsia" w:ascii="仿宋_GB2312" w:hAnsi="仿宋_GB2312" w:eastAsia="仿宋_GB2312" w:cs="仿宋_GB2312"/>
          <w:sz w:val="28"/>
          <w:szCs w:val="28"/>
          <w:lang w:val="en-US" w:eastAsia="zh-CN"/>
        </w:rPr>
        <w:t>项目计划建设周期24个月</w:t>
      </w:r>
      <w:r>
        <w:rPr>
          <w:rFonts w:hint="eastAsia" w:ascii="仿宋_GB2312" w:hAnsi="仿宋_GB2312" w:eastAsia="仿宋_GB2312" w:cs="仿宋_GB2312"/>
          <w:sz w:val="28"/>
          <w:szCs w:val="28"/>
          <w:highlight w:val="none"/>
          <w:lang w:val="zh-CN" w:eastAsia="zh-CN"/>
        </w:rPr>
        <w:t>。根据建设期以及工程量情况，资金投入计划安排202</w:t>
      </w:r>
      <w:r>
        <w:rPr>
          <w:rFonts w:hint="eastAsia" w:ascii="仿宋_GB2312" w:hAnsi="仿宋_GB2312" w:eastAsia="仿宋_GB2312" w:cs="仿宋_GB2312"/>
          <w:sz w:val="28"/>
          <w:szCs w:val="28"/>
          <w:highlight w:val="none"/>
          <w:lang w:val="en-US" w:eastAsia="zh-CN"/>
        </w:rPr>
        <w:t>2</w:t>
      </w:r>
      <w:r>
        <w:rPr>
          <w:rFonts w:hint="eastAsia" w:ascii="仿宋_GB2312" w:hAnsi="仿宋_GB2312" w:eastAsia="仿宋_GB2312" w:cs="仿宋_GB2312"/>
          <w:sz w:val="28"/>
          <w:szCs w:val="28"/>
          <w:highlight w:val="none"/>
          <w:lang w:val="zh-CN" w:eastAsia="zh-CN"/>
        </w:rPr>
        <w:t>年</w:t>
      </w:r>
      <w:r>
        <w:rPr>
          <w:rFonts w:hint="eastAsia" w:ascii="仿宋_GB2312" w:hAnsi="仿宋_GB2312" w:eastAsia="仿宋_GB2312" w:cs="仿宋_GB2312"/>
          <w:sz w:val="28"/>
          <w:szCs w:val="28"/>
          <w:highlight w:val="none"/>
          <w:lang w:val="en-US" w:eastAsia="zh-CN"/>
        </w:rPr>
        <w:t>5000</w:t>
      </w:r>
      <w:r>
        <w:rPr>
          <w:rFonts w:hint="eastAsia" w:ascii="仿宋_GB2312" w:hAnsi="仿宋_GB2312" w:eastAsia="仿宋_GB2312" w:cs="仿宋_GB2312"/>
          <w:sz w:val="28"/>
          <w:szCs w:val="28"/>
          <w:highlight w:val="none"/>
          <w:lang w:val="zh-CN" w:eastAsia="zh-CN"/>
        </w:rPr>
        <w:t>万元；202</w:t>
      </w:r>
      <w:r>
        <w:rPr>
          <w:rFonts w:hint="eastAsia" w:ascii="仿宋_GB2312" w:hAnsi="仿宋_GB2312" w:eastAsia="仿宋_GB2312" w:cs="仿宋_GB2312"/>
          <w:sz w:val="28"/>
          <w:szCs w:val="28"/>
          <w:highlight w:val="none"/>
          <w:lang w:val="en-US" w:eastAsia="zh-CN"/>
        </w:rPr>
        <w:t>3</w:t>
      </w:r>
      <w:r>
        <w:rPr>
          <w:rFonts w:hint="eastAsia" w:ascii="仿宋_GB2312" w:hAnsi="仿宋_GB2312" w:eastAsia="仿宋_GB2312" w:cs="仿宋_GB2312"/>
          <w:sz w:val="28"/>
          <w:szCs w:val="28"/>
          <w:highlight w:val="none"/>
          <w:lang w:val="zh-CN" w:eastAsia="zh-CN"/>
        </w:rPr>
        <w:t>年</w:t>
      </w:r>
      <w:r>
        <w:rPr>
          <w:rFonts w:hint="eastAsia" w:ascii="仿宋_GB2312" w:hAnsi="仿宋_GB2312" w:eastAsia="仿宋_GB2312" w:cs="仿宋_GB2312"/>
          <w:sz w:val="28"/>
          <w:szCs w:val="28"/>
          <w:highlight w:val="none"/>
          <w:lang w:val="en-US" w:eastAsia="zh-CN"/>
        </w:rPr>
        <w:t>25000</w:t>
      </w:r>
      <w:r>
        <w:rPr>
          <w:rFonts w:hint="eastAsia" w:ascii="仿宋_GB2312" w:hAnsi="仿宋_GB2312" w:eastAsia="仿宋_GB2312" w:cs="仿宋_GB2312"/>
          <w:sz w:val="28"/>
          <w:szCs w:val="28"/>
          <w:highlight w:val="none"/>
          <w:lang w:val="zh-CN" w:eastAsia="zh-CN"/>
        </w:rPr>
        <w:t>万元（其中债券资金</w:t>
      </w:r>
      <w:r>
        <w:rPr>
          <w:rFonts w:hint="eastAsia" w:ascii="仿宋_GB2312" w:hAnsi="仿宋_GB2312" w:eastAsia="仿宋_GB2312" w:cs="仿宋_GB2312"/>
          <w:sz w:val="28"/>
          <w:szCs w:val="28"/>
          <w:highlight w:val="none"/>
          <w:lang w:val="en-US" w:eastAsia="zh-CN"/>
        </w:rPr>
        <w:t>20000</w:t>
      </w:r>
      <w:r>
        <w:rPr>
          <w:rFonts w:hint="eastAsia" w:ascii="仿宋_GB2312" w:hAnsi="仿宋_GB2312" w:eastAsia="仿宋_GB2312" w:cs="仿宋_GB2312"/>
          <w:sz w:val="28"/>
          <w:szCs w:val="28"/>
          <w:highlight w:val="none"/>
          <w:lang w:val="zh-CN" w:eastAsia="zh-CN"/>
        </w:rPr>
        <w:t>万元）；202</w:t>
      </w:r>
      <w:r>
        <w:rPr>
          <w:rFonts w:hint="eastAsia" w:ascii="仿宋_GB2312" w:hAnsi="仿宋_GB2312" w:eastAsia="仿宋_GB2312" w:cs="仿宋_GB2312"/>
          <w:sz w:val="28"/>
          <w:szCs w:val="28"/>
          <w:highlight w:val="none"/>
          <w:lang w:val="en-US" w:eastAsia="zh-CN"/>
        </w:rPr>
        <w:t>4</w:t>
      </w:r>
      <w:r>
        <w:rPr>
          <w:rFonts w:hint="eastAsia" w:ascii="仿宋_GB2312" w:hAnsi="仿宋_GB2312" w:eastAsia="仿宋_GB2312" w:cs="仿宋_GB2312"/>
          <w:sz w:val="28"/>
          <w:szCs w:val="28"/>
          <w:highlight w:val="none"/>
          <w:lang w:val="zh-CN" w:eastAsia="zh-CN"/>
        </w:rPr>
        <w:t>年</w:t>
      </w:r>
      <w:r>
        <w:rPr>
          <w:rFonts w:hint="eastAsia" w:ascii="仿宋_GB2312" w:hAnsi="仿宋_GB2312" w:eastAsia="仿宋_GB2312" w:cs="仿宋_GB2312"/>
          <w:sz w:val="28"/>
          <w:szCs w:val="28"/>
          <w:highlight w:val="none"/>
          <w:lang w:val="en-US" w:eastAsia="zh-CN"/>
        </w:rPr>
        <w:t>7850</w:t>
      </w:r>
      <w:r>
        <w:rPr>
          <w:rFonts w:hint="eastAsia" w:ascii="仿宋_GB2312" w:hAnsi="仿宋_GB2312" w:eastAsia="仿宋_GB2312" w:cs="仿宋_GB2312"/>
          <w:sz w:val="28"/>
          <w:szCs w:val="28"/>
          <w:highlight w:val="none"/>
          <w:lang w:val="zh-CN" w:eastAsia="zh-CN"/>
        </w:rPr>
        <w:t>万元。符合工程进度预期，债券资金需求合理。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highlight w:val="none"/>
          <w:lang w:val="zh-CN" w:eastAsia="zh-CN"/>
        </w:rPr>
      </w:pPr>
      <w:r>
        <w:rPr>
          <w:rFonts w:hint="eastAsia" w:ascii="仿宋_GB2312" w:hAnsi="仿宋_GB2312" w:eastAsia="仿宋_GB2312" w:cs="仿宋_GB2312"/>
          <w:sz w:val="28"/>
          <w:szCs w:val="28"/>
          <w:highlight w:val="none"/>
          <w:lang w:val="zh-CN" w:eastAsia="zh-CN"/>
        </w:rPr>
        <w:t>6、</w:t>
      </w:r>
      <w:r>
        <w:rPr>
          <w:rFonts w:hint="eastAsia" w:ascii="仿宋_GB2312" w:hAnsi="仿宋_GB2312" w:eastAsia="仿宋_GB2312" w:cs="仿宋_GB2312"/>
          <w:color w:val="000000"/>
          <w:sz w:val="28"/>
          <w:szCs w:val="28"/>
        </w:rPr>
        <w:t>项目偿债计划可行性和偿债风险点。</w:t>
      </w:r>
      <w:r>
        <w:rPr>
          <w:rFonts w:hint="eastAsia" w:ascii="仿宋_GB2312" w:hAnsi="仿宋_GB2312" w:eastAsia="仿宋_GB2312" w:cs="仿宋_GB2312"/>
          <w:sz w:val="28"/>
          <w:szCs w:val="28"/>
          <w:highlight w:val="none"/>
          <w:lang w:val="zh-CN" w:eastAsia="zh-CN"/>
        </w:rPr>
        <w:t>根据本项目的预期收益情况、债券资金的还本付息情况，本项目能够合理保证偿还本期债券本金和利息，可以实现项目收益与融资自求平衡。偿债风险点主要为（1）利率变动的风险（2）地方政府债务风险（3）其他不可抗拒的风险等，项目主管部门高度重视政府债务风险防范，及时调整并加强自我防控，保证债务偿还安全可控。</w:t>
      </w:r>
    </w:p>
    <w:p>
      <w:pPr>
        <w:widowControl w:val="0"/>
        <w:numPr>
          <w:ilvl w:val="0"/>
          <w:numId w:val="0"/>
        </w:numPr>
        <w:ind w:firstLine="562" w:firstLineChars="200"/>
        <w:jc w:val="both"/>
        <w:outlineLvl w:val="1"/>
        <w:rPr>
          <w:rFonts w:hint="eastAsia"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（二）绩效目标</w:t>
      </w:r>
    </w:p>
    <w:p>
      <w:pPr>
        <w:pStyle w:val="29"/>
        <w:ind w:firstLine="560" w:firstLineChars="200"/>
        <w:rPr>
          <w:rFonts w:hint="eastAsia" w:ascii="仿宋_GB2312" w:hAnsi="仿宋_GB2312" w:eastAsia="仿宋_GB2312" w:cs="仿宋_GB2312"/>
          <w:b w:val="0"/>
          <w:bCs w:val="0"/>
          <w:sz w:val="28"/>
          <w:szCs w:val="28"/>
          <w:highlight w:val="none"/>
          <w:lang w:val="en-US" w:eastAsia="zh-CN"/>
        </w:rPr>
      </w:pPr>
      <w:r>
        <w:rPr>
          <w:rFonts w:hint="eastAsia" w:ascii="仿宋_GB2312" w:hAnsi="仿宋_GB2312" w:eastAsia="仿宋_GB2312" w:cs="仿宋_GB2312"/>
          <w:b w:val="0"/>
          <w:bCs w:val="0"/>
          <w:sz w:val="28"/>
          <w:szCs w:val="28"/>
          <w:highlight w:val="none"/>
          <w:lang w:val="en-US" w:eastAsia="zh-CN"/>
        </w:rPr>
        <w:t>1、设定情况</w:t>
      </w:r>
    </w:p>
    <w:p>
      <w:pPr>
        <w:pStyle w:val="29"/>
        <w:ind w:firstLine="560" w:firstLineChars="200"/>
        <w:rPr>
          <w:rFonts w:hint="default" w:ascii="仿宋_GB2312" w:hAnsi="仿宋_GB2312" w:eastAsia="仿宋_GB2312" w:cs="仿宋_GB2312"/>
          <w:b w:val="0"/>
          <w:bCs w:val="0"/>
          <w:sz w:val="28"/>
          <w:szCs w:val="28"/>
          <w:highlight w:val="none"/>
          <w:lang w:val="en-US" w:eastAsia="zh-CN"/>
        </w:rPr>
      </w:pPr>
      <w:r>
        <w:rPr>
          <w:rFonts w:hint="eastAsia" w:ascii="仿宋_GB2312" w:hAnsi="仿宋_GB2312" w:eastAsia="仿宋_GB2312" w:cs="仿宋_GB2312"/>
          <w:b w:val="0"/>
          <w:bCs w:val="0"/>
          <w:sz w:val="28"/>
          <w:szCs w:val="28"/>
          <w:highlight w:val="none"/>
          <w:lang w:val="en-US" w:eastAsia="zh-CN"/>
        </w:rPr>
        <w:t>项目设定的总体绩效目标：完成武安工业园区产城融合示范区基础设施建设项目(二期)；完善区域基础设施建设；进一步提高武安工业园区的竞争力，构建生态、和谐社会。</w:t>
      </w:r>
    </w:p>
    <w:p>
      <w:pPr>
        <w:pStyle w:val="29"/>
        <w:ind w:firstLine="560" w:firstLineChars="200"/>
        <w:rPr>
          <w:rFonts w:hint="eastAsia" w:ascii="仿宋_GB2312" w:hAnsi="仿宋_GB2312" w:eastAsia="仿宋_GB2312" w:cs="仿宋_GB2312"/>
          <w:b w:val="0"/>
          <w:bCs w:val="0"/>
          <w:sz w:val="28"/>
          <w:szCs w:val="28"/>
          <w:highlight w:val="none"/>
          <w:lang w:val="en-US" w:eastAsia="zh-CN"/>
        </w:rPr>
      </w:pPr>
      <w:r>
        <w:rPr>
          <w:rFonts w:hint="eastAsia" w:ascii="仿宋_GB2312" w:hAnsi="仿宋_GB2312" w:eastAsia="仿宋_GB2312" w:cs="仿宋_GB2312"/>
          <w:b w:val="0"/>
          <w:bCs w:val="0"/>
          <w:sz w:val="28"/>
          <w:szCs w:val="28"/>
          <w:highlight w:val="none"/>
          <w:lang w:val="en-US" w:eastAsia="zh-CN"/>
        </w:rPr>
        <w:t>1、经济效益指标</w:t>
      </w:r>
    </w:p>
    <w:p>
      <w:pPr>
        <w:pStyle w:val="29"/>
        <w:ind w:firstLine="560" w:firstLineChars="200"/>
        <w:rPr>
          <w:rFonts w:hint="default" w:ascii="仿宋_GB2312" w:hAnsi="仿宋_GB2312" w:eastAsia="仿宋_GB2312" w:cs="仿宋_GB2312"/>
          <w:b w:val="0"/>
          <w:bCs w:val="0"/>
          <w:sz w:val="28"/>
          <w:szCs w:val="28"/>
          <w:highlight w:val="none"/>
          <w:lang w:val="en-US" w:eastAsia="zh-CN"/>
        </w:rPr>
      </w:pPr>
      <w:r>
        <w:rPr>
          <w:rFonts w:hint="eastAsia" w:ascii="仿宋_GB2312" w:hAnsi="仿宋_GB2312" w:eastAsia="仿宋_GB2312" w:cs="仿宋_GB2312"/>
          <w:b w:val="0"/>
          <w:bCs w:val="0"/>
          <w:sz w:val="28"/>
          <w:szCs w:val="28"/>
          <w:highlight w:val="none"/>
          <w:lang w:val="en-US" w:eastAsia="zh-CN"/>
        </w:rPr>
        <w:t>依据项目实施方案，绩效目标中经济效益指标共考核4个指标，指标1：项目年运营收入；指标2：项目年运营成本；指标3：项目年运营收益；指标4：项目收入、成本、收益预测的合理性。</w:t>
      </w:r>
    </w:p>
    <w:p>
      <w:pPr>
        <w:pStyle w:val="29"/>
        <w:ind w:firstLine="560" w:firstLineChars="200"/>
        <w:rPr>
          <w:rFonts w:hint="eastAsia" w:ascii="仿宋_GB2312" w:hAnsi="仿宋_GB2312" w:eastAsia="仿宋_GB2312" w:cs="仿宋_GB2312"/>
          <w:b w:val="0"/>
          <w:bCs w:val="0"/>
          <w:sz w:val="28"/>
          <w:szCs w:val="28"/>
          <w:highlight w:val="none"/>
          <w:lang w:val="en-US" w:eastAsia="zh-CN"/>
        </w:rPr>
      </w:pPr>
      <w:r>
        <w:rPr>
          <w:rFonts w:hint="eastAsia" w:ascii="仿宋_GB2312" w:hAnsi="仿宋_GB2312" w:eastAsia="仿宋_GB2312" w:cs="仿宋_GB2312"/>
          <w:b w:val="0"/>
          <w:bCs w:val="0"/>
          <w:sz w:val="28"/>
          <w:szCs w:val="28"/>
          <w:highlight w:val="none"/>
          <w:lang w:val="en-US" w:eastAsia="zh-CN"/>
        </w:rPr>
        <w:t>2、社会效益指标</w:t>
      </w:r>
    </w:p>
    <w:p>
      <w:pPr>
        <w:pStyle w:val="29"/>
        <w:ind w:firstLine="560" w:firstLineChars="200"/>
        <w:rPr>
          <w:rFonts w:hint="default" w:ascii="仿宋_GB2312" w:hAnsi="仿宋_GB2312" w:eastAsia="仿宋_GB2312" w:cs="仿宋_GB2312"/>
          <w:b w:val="0"/>
          <w:bCs w:val="0"/>
          <w:sz w:val="28"/>
          <w:szCs w:val="28"/>
          <w:highlight w:val="none"/>
          <w:lang w:val="en-US" w:eastAsia="zh-CN"/>
        </w:rPr>
      </w:pPr>
      <w:r>
        <w:rPr>
          <w:rFonts w:hint="eastAsia" w:ascii="仿宋_GB2312" w:hAnsi="仿宋_GB2312" w:eastAsia="仿宋_GB2312" w:cs="仿宋_GB2312"/>
          <w:b w:val="0"/>
          <w:bCs w:val="0"/>
          <w:sz w:val="28"/>
          <w:szCs w:val="28"/>
          <w:highlight w:val="none"/>
          <w:lang w:val="en-US" w:eastAsia="zh-CN"/>
        </w:rPr>
        <w:t>依据项目实施方案，绩效目标中社会效益指标共考核2个指标，指标1：完善区域基础设施；指标2：提高武安工业园区的竞争力，构建生态、和谐社会；</w:t>
      </w:r>
    </w:p>
    <w:p>
      <w:pPr>
        <w:pStyle w:val="29"/>
        <w:ind w:firstLine="560" w:firstLineChars="200"/>
        <w:rPr>
          <w:rFonts w:hint="eastAsia" w:ascii="仿宋_GB2312" w:hAnsi="仿宋_GB2312" w:eastAsia="仿宋_GB2312" w:cs="仿宋_GB2312"/>
          <w:b w:val="0"/>
          <w:bCs w:val="0"/>
          <w:sz w:val="28"/>
          <w:szCs w:val="28"/>
          <w:highlight w:val="none"/>
          <w:lang w:val="en-US" w:eastAsia="zh-CN"/>
        </w:rPr>
      </w:pPr>
      <w:r>
        <w:rPr>
          <w:rFonts w:hint="eastAsia" w:ascii="仿宋_GB2312" w:hAnsi="仿宋_GB2312" w:eastAsia="仿宋_GB2312" w:cs="仿宋_GB2312"/>
          <w:b w:val="0"/>
          <w:bCs w:val="0"/>
          <w:sz w:val="28"/>
          <w:szCs w:val="28"/>
          <w:highlight w:val="none"/>
          <w:lang w:val="en-US" w:eastAsia="zh-CN"/>
        </w:rPr>
        <w:t>3、可持续影响指标</w:t>
      </w:r>
    </w:p>
    <w:p>
      <w:pPr>
        <w:pStyle w:val="29"/>
        <w:ind w:firstLine="560" w:firstLineChars="200"/>
        <w:rPr>
          <w:rFonts w:hint="eastAsia" w:ascii="仿宋_GB2312" w:hAnsi="仿宋_GB2312" w:eastAsia="仿宋_GB2312" w:cs="仿宋_GB2312"/>
          <w:b w:val="0"/>
          <w:bCs w:val="0"/>
          <w:sz w:val="28"/>
          <w:szCs w:val="28"/>
          <w:highlight w:val="none"/>
          <w:lang w:val="en-US" w:eastAsia="zh-CN"/>
        </w:rPr>
      </w:pPr>
      <w:r>
        <w:rPr>
          <w:rFonts w:hint="eastAsia" w:ascii="仿宋_GB2312" w:hAnsi="仿宋_GB2312" w:eastAsia="仿宋_GB2312" w:cs="仿宋_GB2312"/>
          <w:b w:val="0"/>
          <w:bCs w:val="0"/>
          <w:sz w:val="28"/>
          <w:szCs w:val="28"/>
          <w:highlight w:val="none"/>
          <w:lang w:val="en-US" w:eastAsia="zh-CN"/>
        </w:rPr>
        <w:t>依据项目实施方案，绩效目标中可持续影响指标共考核1个指标，指标1：持续促进武安市经济事业的和谐发展。</w:t>
      </w:r>
    </w:p>
    <w:p>
      <w:pPr>
        <w:pStyle w:val="29"/>
        <w:ind w:firstLine="560" w:firstLineChars="200"/>
        <w:rPr>
          <w:rFonts w:hint="eastAsia" w:ascii="仿宋_GB2312" w:hAnsi="仿宋_GB2312" w:eastAsia="仿宋_GB2312" w:cs="仿宋_GB2312"/>
          <w:b w:val="0"/>
          <w:bCs w:val="0"/>
          <w:sz w:val="28"/>
          <w:szCs w:val="28"/>
          <w:highlight w:val="none"/>
          <w:lang w:val="en-US" w:eastAsia="zh-CN"/>
        </w:rPr>
      </w:pPr>
      <w:r>
        <w:rPr>
          <w:rFonts w:hint="eastAsia" w:ascii="仿宋_GB2312" w:hAnsi="仿宋_GB2312" w:eastAsia="仿宋_GB2312" w:cs="仿宋_GB2312"/>
          <w:b w:val="0"/>
          <w:bCs w:val="0"/>
          <w:sz w:val="28"/>
          <w:szCs w:val="28"/>
          <w:highlight w:val="none"/>
          <w:lang w:val="en-US" w:eastAsia="zh-CN"/>
        </w:rPr>
        <w:t>4、还本付息指标</w:t>
      </w:r>
    </w:p>
    <w:p>
      <w:pPr>
        <w:pStyle w:val="29"/>
        <w:ind w:firstLine="560" w:firstLineChars="200"/>
        <w:rPr>
          <w:rFonts w:hint="default" w:ascii="仿宋_GB2312" w:hAnsi="仿宋_GB2312" w:eastAsia="仿宋_GB2312" w:cs="仿宋_GB2312"/>
          <w:b w:val="0"/>
          <w:bCs w:val="0"/>
          <w:sz w:val="28"/>
          <w:szCs w:val="28"/>
          <w:highlight w:val="none"/>
          <w:lang w:val="en-US" w:eastAsia="zh-CN"/>
        </w:rPr>
      </w:pPr>
      <w:r>
        <w:rPr>
          <w:rFonts w:hint="eastAsia" w:ascii="仿宋_GB2312" w:hAnsi="仿宋_GB2312" w:eastAsia="仿宋_GB2312" w:cs="仿宋_GB2312"/>
          <w:b w:val="0"/>
          <w:bCs w:val="0"/>
          <w:sz w:val="28"/>
          <w:szCs w:val="28"/>
          <w:highlight w:val="none"/>
          <w:lang w:val="en-US" w:eastAsia="zh-CN"/>
        </w:rPr>
        <w:t>依据项目实施方案，还本付息指标共考核5个指标，指标1：还本资金来源；指标2：还本付息金额；指标3：按期足额偿付本息率；指标4：偿债计划可行性；指标5：偿债风险点。</w:t>
      </w:r>
    </w:p>
    <w:p>
      <w:pPr>
        <w:pStyle w:val="29"/>
        <w:jc w:val="center"/>
        <w:rPr>
          <w:rFonts w:hint="default" w:ascii="仿宋_GB2312" w:hAnsi="仿宋_GB2312" w:eastAsia="仿宋_GB2312" w:cs="仿宋_GB2312"/>
          <w:b w:val="0"/>
          <w:bCs w:val="0"/>
          <w:sz w:val="28"/>
          <w:szCs w:val="28"/>
          <w:highlight w:val="none"/>
          <w:lang w:val="en-US" w:eastAsia="zh-CN"/>
        </w:rPr>
      </w:pPr>
      <w:r>
        <w:rPr>
          <w:rFonts w:hint="default" w:ascii="仿宋_GB2312" w:hAnsi="仿宋_GB2312" w:eastAsia="仿宋_GB2312" w:cs="仿宋_GB2312"/>
          <w:b w:val="0"/>
          <w:bCs w:val="0"/>
          <w:sz w:val="28"/>
          <w:szCs w:val="28"/>
          <w:highlight w:val="none"/>
          <w:lang w:val="en-US" w:eastAsia="zh-CN"/>
        </w:rPr>
        <w:t>河北省政府专项债券项目绩效目标表</w:t>
      </w:r>
    </w:p>
    <w:p>
      <w:pPr>
        <w:pStyle w:val="29"/>
        <w:jc w:val="both"/>
        <w:rPr>
          <w:rFonts w:hint="eastAsia" w:ascii="仿宋_GB2312" w:hAnsi="仿宋_GB2312" w:eastAsia="仿宋_GB2312" w:cs="仿宋_GB2312"/>
          <w:b w:val="0"/>
          <w:bCs w:val="0"/>
          <w:sz w:val="24"/>
          <w:szCs w:val="24"/>
          <w:highlight w:val="none"/>
          <w:lang w:val="en-US" w:eastAsia="zh-CN"/>
        </w:rPr>
      </w:pPr>
      <w:r>
        <w:rPr>
          <w:rFonts w:hint="default" w:ascii="仿宋_GB2312" w:hAnsi="仿宋_GB2312" w:eastAsia="仿宋_GB2312" w:cs="仿宋_GB2312"/>
          <w:b w:val="0"/>
          <w:bCs w:val="0"/>
          <w:sz w:val="24"/>
          <w:szCs w:val="24"/>
          <w:highlight w:val="none"/>
          <w:lang w:val="en-US" w:eastAsia="zh-CN"/>
        </w:rPr>
        <w:t>填报单位：（盖章）</w:t>
      </w:r>
      <w:r>
        <w:rPr>
          <w:rFonts w:hint="eastAsia" w:ascii="仿宋_GB2312" w:hAnsi="仿宋_GB2312" w:eastAsia="仿宋_GB2312" w:cs="仿宋_GB2312"/>
          <w:b w:val="0"/>
          <w:bCs w:val="0"/>
          <w:sz w:val="24"/>
          <w:szCs w:val="24"/>
          <w:highlight w:val="none"/>
          <w:lang w:val="en-US" w:eastAsia="zh-CN"/>
        </w:rPr>
        <w:t xml:space="preserve">                                         单位：万元</w:t>
      </w:r>
    </w:p>
    <w:tbl>
      <w:tblPr>
        <w:tblStyle w:val="21"/>
        <w:tblW w:w="825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40"/>
        <w:gridCol w:w="1220"/>
        <w:gridCol w:w="1121"/>
        <w:gridCol w:w="1199"/>
        <w:gridCol w:w="1300"/>
        <w:gridCol w:w="23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6" w:hRule="atLeast"/>
        </w:trPr>
        <w:tc>
          <w:tcPr>
            <w:tcW w:w="104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项目名称</w:t>
            </w:r>
          </w:p>
        </w:tc>
        <w:tc>
          <w:tcPr>
            <w:tcW w:w="122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武安工业园区产城融合示范区基础设施建设项目(二期)</w:t>
            </w:r>
          </w:p>
        </w:tc>
        <w:tc>
          <w:tcPr>
            <w:tcW w:w="112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地债系统编码</w:t>
            </w:r>
          </w:p>
        </w:tc>
        <w:tc>
          <w:tcPr>
            <w:tcW w:w="1200" w:type="dxa"/>
            <w:tcBorders>
              <w:top w:val="single" w:color="000000" w:sz="8" w:space="0"/>
              <w:left w:val="nil"/>
              <w:bottom w:val="single" w:color="000000" w:sz="8" w:space="0"/>
              <w:right w:val="single" w:color="000000" w:sz="8" w:space="0"/>
            </w:tcBorders>
            <w:shd w:val="clear" w:color="auto" w:fill="auto"/>
            <w:vAlign w:val="center"/>
          </w:tcPr>
          <w:p>
            <w:pPr>
              <w:jc w:val="both"/>
              <w:rPr>
                <w:rFonts w:hint="eastAsia" w:ascii="仿宋_GB2312" w:hAnsi="宋体" w:eastAsia="仿宋_GB2312" w:cs="仿宋_GB2312"/>
                <w:i w:val="0"/>
                <w:iCs w:val="0"/>
                <w:color w:val="000000"/>
                <w:sz w:val="18"/>
                <w:szCs w:val="18"/>
                <w:u w:val="none"/>
              </w:rPr>
            </w:pPr>
          </w:p>
        </w:tc>
        <w:tc>
          <w:tcPr>
            <w:tcW w:w="13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发改委审批监管平台代码</w:t>
            </w:r>
          </w:p>
        </w:tc>
        <w:tc>
          <w:tcPr>
            <w:tcW w:w="237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2206-130481-89-01-388068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4" w:hRule="atLeast"/>
        </w:trPr>
        <w:tc>
          <w:tcPr>
            <w:tcW w:w="104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项目主管部门</w:t>
            </w:r>
          </w:p>
        </w:tc>
        <w:tc>
          <w:tcPr>
            <w:tcW w:w="3543"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河北武安工业园区管理委员会</w:t>
            </w:r>
          </w:p>
        </w:tc>
        <w:tc>
          <w:tcPr>
            <w:tcW w:w="13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统一社会信用代码</w:t>
            </w:r>
          </w:p>
        </w:tc>
        <w:tc>
          <w:tcPr>
            <w:tcW w:w="237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11130481401839544B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4" w:hRule="atLeast"/>
        </w:trPr>
        <w:tc>
          <w:tcPr>
            <w:tcW w:w="104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项目实施主体</w:t>
            </w:r>
          </w:p>
        </w:tc>
        <w:tc>
          <w:tcPr>
            <w:tcW w:w="3543"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河北武安工业园区管理委员会</w:t>
            </w:r>
          </w:p>
        </w:tc>
        <w:tc>
          <w:tcPr>
            <w:tcW w:w="13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统一社会信用代码</w:t>
            </w:r>
          </w:p>
        </w:tc>
        <w:tc>
          <w:tcPr>
            <w:tcW w:w="237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11130481401839544B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4" w:hRule="atLeast"/>
        </w:trPr>
        <w:tc>
          <w:tcPr>
            <w:tcW w:w="104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项目负责人</w:t>
            </w:r>
          </w:p>
        </w:tc>
        <w:tc>
          <w:tcPr>
            <w:tcW w:w="3543" w:type="dxa"/>
            <w:gridSpan w:val="3"/>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联系电话</w:t>
            </w:r>
          </w:p>
        </w:tc>
        <w:tc>
          <w:tcPr>
            <w:tcW w:w="2372"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8" w:hRule="atLeast"/>
        </w:trPr>
        <w:tc>
          <w:tcPr>
            <w:tcW w:w="1041" w:type="dxa"/>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项目资金</w:t>
            </w:r>
          </w:p>
        </w:tc>
        <w:tc>
          <w:tcPr>
            <w:tcW w:w="7215"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项目总投资37850万元，其中：工程费用16173万元，工程建设其他费用18873万元，预备费2804万元。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6" w:hRule="atLeast"/>
        </w:trPr>
        <w:tc>
          <w:tcPr>
            <w:tcW w:w="1041" w:type="dxa"/>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（万元）</w:t>
            </w:r>
          </w:p>
        </w:tc>
        <w:tc>
          <w:tcPr>
            <w:tcW w:w="7215"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一、政府专项债券资金：20000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6" w:hRule="atLeast"/>
        </w:trPr>
        <w:tc>
          <w:tcPr>
            <w:tcW w:w="1040" w:type="dxa"/>
            <w:tcBorders>
              <w:top w:val="nil"/>
              <w:left w:val="single" w:color="000000" w:sz="8" w:space="0"/>
              <w:bottom w:val="single" w:color="000000" w:sz="8" w:space="0"/>
              <w:right w:val="single" w:color="000000" w:sz="8" w:space="0"/>
            </w:tcBorders>
            <w:shd w:val="clear" w:color="auto" w:fill="auto"/>
            <w:noWrap/>
            <w:vAlign w:val="center"/>
          </w:tcPr>
          <w:p>
            <w:pPr>
              <w:jc w:val="both"/>
              <w:rPr>
                <w:rFonts w:hint="eastAsia" w:ascii="宋体" w:hAnsi="宋体" w:eastAsia="宋体" w:cs="宋体"/>
                <w:i w:val="0"/>
                <w:iCs w:val="0"/>
                <w:color w:val="000000"/>
                <w:sz w:val="22"/>
                <w:szCs w:val="22"/>
                <w:u w:val="none"/>
              </w:rPr>
            </w:pPr>
          </w:p>
        </w:tc>
        <w:tc>
          <w:tcPr>
            <w:tcW w:w="7215"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二、其他资金：17850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3" w:hRule="atLeast"/>
        </w:trPr>
        <w:tc>
          <w:tcPr>
            <w:tcW w:w="104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债券资金用途</w:t>
            </w:r>
          </w:p>
        </w:tc>
        <w:tc>
          <w:tcPr>
            <w:tcW w:w="7215"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用于武安工业园区产城融合示范区基础设施建设项目(二期)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41"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绩效目标</w:t>
            </w:r>
          </w:p>
        </w:tc>
        <w:tc>
          <w:tcPr>
            <w:tcW w:w="7215" w:type="dxa"/>
            <w:gridSpan w:val="5"/>
            <w:vMerge w:val="restart"/>
            <w:tcBorders>
              <w:top w:val="nil"/>
              <w:left w:val="nil"/>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项目总体绩效目标：完成武安工业园区产城融合示范区基础设施建设项目(二期)；完善区域基础设施建设；进一步提高武安工业园区的竞争力，构建生态、和谐社会。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41"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7215" w:type="dxa"/>
            <w:gridSpan w:val="5"/>
            <w:vMerge w:val="continue"/>
            <w:tcBorders>
              <w:top w:val="nil"/>
              <w:left w:val="nil"/>
              <w:bottom w:val="nil"/>
              <w:right w:val="single" w:color="000000" w:sz="8" w:space="0"/>
            </w:tcBorders>
            <w:shd w:val="clear" w:color="auto" w:fill="auto"/>
            <w:vAlign w:val="center"/>
          </w:tcPr>
          <w:p>
            <w:pPr>
              <w:jc w:val="left"/>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6" w:hRule="atLeast"/>
        </w:trPr>
        <w:tc>
          <w:tcPr>
            <w:tcW w:w="1041"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绩效指标</w:t>
            </w:r>
          </w:p>
        </w:tc>
        <w:tc>
          <w:tcPr>
            <w:tcW w:w="122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一级指标</w:t>
            </w:r>
          </w:p>
        </w:tc>
        <w:tc>
          <w:tcPr>
            <w:tcW w:w="112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二级指标</w:t>
            </w:r>
          </w:p>
        </w:tc>
        <w:tc>
          <w:tcPr>
            <w:tcW w:w="12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三级指标</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指标值及单位</w:t>
            </w:r>
          </w:p>
        </w:tc>
        <w:tc>
          <w:tcPr>
            <w:tcW w:w="237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指标值确认依据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4" w:hRule="atLeast"/>
        </w:trPr>
        <w:tc>
          <w:tcPr>
            <w:tcW w:w="1041"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221"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产出指标</w:t>
            </w:r>
          </w:p>
        </w:tc>
        <w:tc>
          <w:tcPr>
            <w:tcW w:w="1122"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数量指标</w:t>
            </w:r>
          </w:p>
        </w:tc>
        <w:tc>
          <w:tcPr>
            <w:tcW w:w="12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指标1：道路全长</w:t>
            </w:r>
          </w:p>
        </w:tc>
        <w:tc>
          <w:tcPr>
            <w:tcW w:w="13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1626.15m</w:t>
            </w:r>
          </w:p>
        </w:tc>
        <w:tc>
          <w:tcPr>
            <w:tcW w:w="237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可行性研究报告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4" w:hRule="atLeast"/>
        </w:trPr>
        <w:tc>
          <w:tcPr>
            <w:tcW w:w="1041"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221"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22"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2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指标2：道路控制红线宽度</w:t>
            </w:r>
          </w:p>
        </w:tc>
        <w:tc>
          <w:tcPr>
            <w:tcW w:w="13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55m</w:t>
            </w:r>
          </w:p>
        </w:tc>
        <w:tc>
          <w:tcPr>
            <w:tcW w:w="237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可行性研究报告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4" w:hRule="atLeast"/>
        </w:trPr>
        <w:tc>
          <w:tcPr>
            <w:tcW w:w="1041"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221"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2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质量指标</w:t>
            </w:r>
          </w:p>
        </w:tc>
        <w:tc>
          <w:tcPr>
            <w:tcW w:w="12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指标1：工程验收合格率</w:t>
            </w:r>
          </w:p>
        </w:tc>
        <w:tc>
          <w:tcPr>
            <w:tcW w:w="13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100.00%</w:t>
            </w:r>
          </w:p>
        </w:tc>
        <w:tc>
          <w:tcPr>
            <w:tcW w:w="237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验收报告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4" w:hRule="atLeast"/>
        </w:trPr>
        <w:tc>
          <w:tcPr>
            <w:tcW w:w="1041"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221"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2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时效指标</w:t>
            </w:r>
          </w:p>
        </w:tc>
        <w:tc>
          <w:tcPr>
            <w:tcW w:w="12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指标1：项目按期完成率</w:t>
            </w:r>
          </w:p>
        </w:tc>
        <w:tc>
          <w:tcPr>
            <w:tcW w:w="13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100.00%</w:t>
            </w:r>
          </w:p>
        </w:tc>
        <w:tc>
          <w:tcPr>
            <w:tcW w:w="237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合同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4" w:hRule="atLeast"/>
        </w:trPr>
        <w:tc>
          <w:tcPr>
            <w:tcW w:w="1041"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221"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2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成本指标</w:t>
            </w:r>
          </w:p>
        </w:tc>
        <w:tc>
          <w:tcPr>
            <w:tcW w:w="12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指标1：建设成本</w:t>
            </w:r>
          </w:p>
        </w:tc>
        <w:tc>
          <w:tcPr>
            <w:tcW w:w="13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≤37850</w:t>
            </w:r>
          </w:p>
        </w:tc>
        <w:tc>
          <w:tcPr>
            <w:tcW w:w="237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工程竣工决算报告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4" w:hRule="atLeast"/>
        </w:trPr>
        <w:tc>
          <w:tcPr>
            <w:tcW w:w="1041"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221"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绩效指标</w:t>
            </w:r>
          </w:p>
        </w:tc>
        <w:tc>
          <w:tcPr>
            <w:tcW w:w="1122"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经济效益</w:t>
            </w:r>
          </w:p>
        </w:tc>
        <w:tc>
          <w:tcPr>
            <w:tcW w:w="12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指标1：项目运营收入</w:t>
            </w:r>
          </w:p>
        </w:tc>
        <w:tc>
          <w:tcPr>
            <w:tcW w:w="13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173921.02万元</w:t>
            </w:r>
          </w:p>
        </w:tc>
        <w:tc>
          <w:tcPr>
            <w:tcW w:w="237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财务评估咨询报告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4" w:hRule="atLeast"/>
        </w:trPr>
        <w:tc>
          <w:tcPr>
            <w:tcW w:w="1041"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221"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22"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2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指标2：项目运营成本</w:t>
            </w:r>
          </w:p>
        </w:tc>
        <w:tc>
          <w:tcPr>
            <w:tcW w:w="13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14416.77万元</w:t>
            </w:r>
          </w:p>
        </w:tc>
        <w:tc>
          <w:tcPr>
            <w:tcW w:w="237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财务评估咨询报告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4" w:hRule="atLeast"/>
        </w:trPr>
        <w:tc>
          <w:tcPr>
            <w:tcW w:w="1041"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221"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22"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2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指标3：项目运营收益</w:t>
            </w:r>
          </w:p>
        </w:tc>
        <w:tc>
          <w:tcPr>
            <w:tcW w:w="13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159504.25万元</w:t>
            </w:r>
          </w:p>
        </w:tc>
        <w:tc>
          <w:tcPr>
            <w:tcW w:w="237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财务评估咨询报告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1041"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221"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22"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2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指标4：项目收入、成本、收益预测的合理性</w:t>
            </w:r>
          </w:p>
        </w:tc>
        <w:tc>
          <w:tcPr>
            <w:tcW w:w="13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合理</w:t>
            </w:r>
          </w:p>
        </w:tc>
        <w:tc>
          <w:tcPr>
            <w:tcW w:w="237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财务评估咨询报告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4" w:hRule="atLeast"/>
        </w:trPr>
        <w:tc>
          <w:tcPr>
            <w:tcW w:w="1041"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221"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22"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社会效益</w:t>
            </w:r>
          </w:p>
        </w:tc>
        <w:tc>
          <w:tcPr>
            <w:tcW w:w="12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指标1：完善区域基础设施</w:t>
            </w:r>
          </w:p>
        </w:tc>
        <w:tc>
          <w:tcPr>
            <w:tcW w:w="13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效益显著</w:t>
            </w:r>
          </w:p>
        </w:tc>
        <w:tc>
          <w:tcPr>
            <w:tcW w:w="237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可行性研究报告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4" w:hRule="atLeast"/>
        </w:trPr>
        <w:tc>
          <w:tcPr>
            <w:tcW w:w="1041"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221"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22"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2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指标2：提高武安工业园区的竞争力，构建生态、和谐社会</w:t>
            </w:r>
          </w:p>
        </w:tc>
        <w:tc>
          <w:tcPr>
            <w:tcW w:w="13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效益显著</w:t>
            </w:r>
          </w:p>
        </w:tc>
        <w:tc>
          <w:tcPr>
            <w:tcW w:w="237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可行性研究报告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4" w:hRule="atLeast"/>
        </w:trPr>
        <w:tc>
          <w:tcPr>
            <w:tcW w:w="1041"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221"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2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可持续影响指标</w:t>
            </w:r>
          </w:p>
        </w:tc>
        <w:tc>
          <w:tcPr>
            <w:tcW w:w="12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指标1：持续促进武安市经济事业的和谐发展。</w:t>
            </w:r>
          </w:p>
        </w:tc>
        <w:tc>
          <w:tcPr>
            <w:tcW w:w="13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≥10年</w:t>
            </w:r>
          </w:p>
        </w:tc>
        <w:tc>
          <w:tcPr>
            <w:tcW w:w="237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可行性研究报告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4" w:hRule="atLeast"/>
        </w:trPr>
        <w:tc>
          <w:tcPr>
            <w:tcW w:w="1041"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221"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22"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还本付息</w:t>
            </w:r>
          </w:p>
        </w:tc>
        <w:tc>
          <w:tcPr>
            <w:tcW w:w="12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指标1：还本资金来源</w:t>
            </w:r>
          </w:p>
        </w:tc>
        <w:tc>
          <w:tcPr>
            <w:tcW w:w="13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159504.25万元</w:t>
            </w:r>
          </w:p>
        </w:tc>
        <w:tc>
          <w:tcPr>
            <w:tcW w:w="237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财务评估咨询报告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4" w:hRule="atLeast"/>
        </w:trPr>
        <w:tc>
          <w:tcPr>
            <w:tcW w:w="1041"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221"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22"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2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指标2：还本付息金额</w:t>
            </w:r>
          </w:p>
        </w:tc>
        <w:tc>
          <w:tcPr>
            <w:tcW w:w="13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26400万元</w:t>
            </w:r>
          </w:p>
        </w:tc>
        <w:tc>
          <w:tcPr>
            <w:tcW w:w="237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财务评估咨询报告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4" w:hRule="atLeast"/>
        </w:trPr>
        <w:tc>
          <w:tcPr>
            <w:tcW w:w="1041"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221"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22"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2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指标3：按期足额偿付本息率</w:t>
            </w:r>
          </w:p>
        </w:tc>
        <w:tc>
          <w:tcPr>
            <w:tcW w:w="13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按时足额偿还</w:t>
            </w:r>
          </w:p>
        </w:tc>
        <w:tc>
          <w:tcPr>
            <w:tcW w:w="237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财务评估咨询报告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4" w:hRule="atLeast"/>
        </w:trPr>
        <w:tc>
          <w:tcPr>
            <w:tcW w:w="1041"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221"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22"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2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指标4：偿债计划可行性</w:t>
            </w:r>
          </w:p>
        </w:tc>
        <w:tc>
          <w:tcPr>
            <w:tcW w:w="13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可行</w:t>
            </w:r>
          </w:p>
        </w:tc>
        <w:tc>
          <w:tcPr>
            <w:tcW w:w="237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财务评估咨询报告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5" w:hRule="atLeast"/>
        </w:trPr>
        <w:tc>
          <w:tcPr>
            <w:tcW w:w="1041"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221"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22"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2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指标5：偿债风险点</w:t>
            </w:r>
          </w:p>
        </w:tc>
        <w:tc>
          <w:tcPr>
            <w:tcW w:w="13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风险可控</w:t>
            </w:r>
          </w:p>
        </w:tc>
        <w:tc>
          <w:tcPr>
            <w:tcW w:w="237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财务评估咨询报告</w:t>
            </w:r>
          </w:p>
        </w:tc>
      </w:tr>
    </w:tbl>
    <w:p>
      <w:pPr>
        <w:pStyle w:val="29"/>
        <w:jc w:val="both"/>
        <w:rPr>
          <w:rFonts w:hint="eastAsia" w:ascii="仿宋_GB2312" w:hAnsi="仿宋_GB2312" w:eastAsia="仿宋_GB2312" w:cs="仿宋_GB2312"/>
          <w:b w:val="0"/>
          <w:bCs w:val="0"/>
          <w:sz w:val="24"/>
          <w:szCs w:val="24"/>
          <w:highlight w:val="none"/>
          <w:lang w:val="en-US" w:eastAsia="zh-CN"/>
        </w:rPr>
      </w:pPr>
    </w:p>
    <w:p>
      <w:pPr>
        <w:pStyle w:val="29"/>
        <w:jc w:val="both"/>
        <w:rPr>
          <w:rFonts w:hint="default" w:ascii="仿宋_GB2312" w:hAnsi="仿宋_GB2312" w:eastAsia="仿宋_GB2312" w:cs="仿宋_GB2312"/>
          <w:b w:val="0"/>
          <w:bCs w:val="0"/>
          <w:sz w:val="24"/>
          <w:szCs w:val="24"/>
          <w:highlight w:val="none"/>
          <w:lang w:val="en-US" w:eastAsia="zh-CN"/>
        </w:rPr>
      </w:pPr>
    </w:p>
    <w:p>
      <w:pPr>
        <w:pStyle w:val="29"/>
        <w:ind w:firstLine="560" w:firstLineChars="200"/>
        <w:rPr>
          <w:rFonts w:hint="eastAsia" w:ascii="仿宋_GB2312" w:hAnsi="仿宋_GB2312" w:eastAsia="仿宋_GB2312" w:cs="仿宋_GB2312"/>
          <w:b w:val="0"/>
          <w:bCs w:val="0"/>
          <w:sz w:val="28"/>
          <w:szCs w:val="28"/>
          <w:highlight w:val="none"/>
          <w:lang w:val="en-US" w:eastAsia="zh-CN"/>
        </w:rPr>
      </w:pPr>
      <w:r>
        <w:rPr>
          <w:rFonts w:hint="eastAsia" w:ascii="仿宋_GB2312" w:hAnsi="仿宋_GB2312" w:eastAsia="仿宋_GB2312" w:cs="仿宋_GB2312"/>
          <w:b w:val="0"/>
          <w:bCs w:val="0"/>
          <w:sz w:val="28"/>
          <w:szCs w:val="28"/>
          <w:highlight w:val="none"/>
          <w:lang w:val="en-US" w:eastAsia="zh-CN"/>
        </w:rPr>
        <w:t>2、评估结论</w:t>
      </w:r>
    </w:p>
    <w:p>
      <w:pPr>
        <w:widowControl w:val="0"/>
        <w:numPr>
          <w:ilvl w:val="0"/>
          <w:numId w:val="0"/>
        </w:numPr>
        <w:ind w:firstLine="560" w:firstLineChars="200"/>
        <w:jc w:val="both"/>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本项目的项目绩效目标明确，设置相对细化、量化，覆盖了经济效益指标、社会效益指标、生态效益指标、可持续影响指标、还本付息指标等，绩效指标制定合理，能有效果反映项目的预期产出、融资成本等。因此，本项目绩效目标的设置符合资金绩效管理办法的要求，具有合理性。</w:t>
      </w:r>
    </w:p>
    <w:p>
      <w:pPr>
        <w:widowControl w:val="0"/>
        <w:numPr>
          <w:ilvl w:val="0"/>
          <w:numId w:val="0"/>
        </w:numPr>
        <w:ind w:left="0" w:leftChars="0" w:firstLine="560" w:firstLineChars="200"/>
        <w:jc w:val="both"/>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本项目实施是必要的，投入经济可行，资金来源合法合规，项目收入、成本、收益预测合理，绩效目标合理可行，因此本项目申请专项债券资金支持是非常必要和可行的。</w:t>
      </w:r>
    </w:p>
    <w:p>
      <w:pPr>
        <w:widowControl w:val="0"/>
        <w:numPr>
          <w:ilvl w:val="0"/>
          <w:numId w:val="0"/>
        </w:numPr>
        <w:ind w:firstLine="562" w:firstLineChars="200"/>
        <w:jc w:val="both"/>
        <w:outlineLvl w:val="1"/>
        <w:rPr>
          <w:rFonts w:hint="default"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（三）审核情况</w:t>
      </w:r>
    </w:p>
    <w:p>
      <w:pPr>
        <w:ind w:firstLine="560" w:firstLineChars="200"/>
        <w:outlineLvl w:val="0"/>
        <w:rPr>
          <w:rFonts w:hint="eastAsia" w:ascii="仿宋_GB2312" w:hAnsi="仿宋_GB2312" w:eastAsia="仿宋_GB2312" w:cs="仿宋_GB2312"/>
          <w:b/>
          <w:bCs/>
          <w:sz w:val="28"/>
          <w:szCs w:val="28"/>
        </w:rPr>
      </w:pPr>
      <w:r>
        <w:rPr>
          <w:rFonts w:hint="default" w:ascii="仿宋_GB2312" w:hAnsi="仿宋_GB2312" w:eastAsia="仿宋_GB2312" w:cs="仿宋_GB2312"/>
          <w:sz w:val="28"/>
          <w:szCs w:val="28"/>
          <w:lang w:val="en-US" w:eastAsia="zh-CN"/>
        </w:rPr>
        <w:t>根据财政部关于印发《地方政府专项债券项目资金绩效管理办法》的通知（财预[2021]61号）的相关要求，项目单位针对本项目制定了《河北省政府专项债券项目绩效目标表》，</w:t>
      </w:r>
      <w:r>
        <w:rPr>
          <w:rFonts w:hint="eastAsia" w:ascii="仿宋_GB2312" w:hAnsi="仿宋_GB2312" w:eastAsia="仿宋_GB2312" w:cs="仿宋_GB2312"/>
          <w:sz w:val="28"/>
          <w:szCs w:val="28"/>
          <w:lang w:val="en-US" w:eastAsia="zh-CN"/>
        </w:rPr>
        <w:t>武安市</w:t>
      </w:r>
      <w:r>
        <w:rPr>
          <w:rFonts w:hint="default" w:ascii="仿宋_GB2312" w:hAnsi="仿宋_GB2312" w:eastAsia="仿宋_GB2312" w:cs="仿宋_GB2312"/>
          <w:sz w:val="28"/>
          <w:szCs w:val="28"/>
          <w:lang w:val="en-US" w:eastAsia="zh-CN"/>
        </w:rPr>
        <w:t>财政局出具了《专项债券项目审核情况表》，审核意见为同意实施本项目，本项目前期手续合规，债券资金需求合理，偿债计划可行。</w:t>
      </w:r>
    </w:p>
    <w:p>
      <w:pPr>
        <w:ind w:firstLine="562" w:firstLineChars="200"/>
        <w:outlineLvl w:val="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七、</w:t>
      </w:r>
      <w:r>
        <w:rPr>
          <w:rFonts w:hint="eastAsia" w:ascii="仿宋_GB2312" w:hAnsi="仿宋_GB2312" w:eastAsia="仿宋_GB2312" w:cs="仿宋_GB2312"/>
          <w:b/>
          <w:bCs/>
          <w:sz w:val="28"/>
          <w:szCs w:val="28"/>
        </w:rPr>
        <w:t>项目运营与预期收益估算</w:t>
      </w:r>
    </w:p>
    <w:p>
      <w:pPr>
        <w:keepNext w:val="0"/>
        <w:keepLines w:val="0"/>
        <w:pageBreakBefore w:val="0"/>
        <w:kinsoku/>
        <w:wordWrap/>
        <w:overflowPunct/>
        <w:topLinePunct w:val="0"/>
        <w:autoSpaceDE/>
        <w:autoSpaceDN/>
        <w:bidi w:val="0"/>
        <w:adjustRightInd/>
        <w:snapToGrid/>
        <w:spacing w:line="580" w:lineRule="exact"/>
        <w:ind w:firstLine="560" w:firstLineChars="200"/>
        <w:outlineLvl w:val="1"/>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（一）项目运营方案</w:t>
      </w:r>
    </w:p>
    <w:p>
      <w:pPr>
        <w:keepNext w:val="0"/>
        <w:keepLines w:val="0"/>
        <w:pageBreakBefore w:val="0"/>
        <w:kinsoku/>
        <w:wordWrap/>
        <w:overflowPunct/>
        <w:topLinePunct w:val="0"/>
        <w:autoSpaceDE/>
        <w:autoSpaceDN/>
        <w:bidi w:val="0"/>
        <w:adjustRightInd/>
        <w:snapToGrid/>
        <w:spacing w:line="580" w:lineRule="exact"/>
        <w:ind w:firstLine="560" w:firstLineChars="200"/>
        <w:outlineLvl w:val="2"/>
        <w:rPr>
          <w:rFonts w:hint="eastAsia" w:ascii="仿宋_GB2312" w:hAnsi="仿宋_GB2312" w:eastAsia="仿宋_GB2312" w:cs="仿宋_GB2312"/>
          <w:highlight w:val="none"/>
        </w:rPr>
      </w:pPr>
      <w:r>
        <w:rPr>
          <w:rFonts w:hint="eastAsia" w:ascii="仿宋_GB2312" w:hAnsi="仿宋_GB2312" w:eastAsia="仿宋_GB2312" w:cs="仿宋_GB2312"/>
          <w:bCs/>
          <w:sz w:val="28"/>
          <w:szCs w:val="28"/>
          <w:highlight w:val="none"/>
        </w:rPr>
        <w:t>1</w:t>
      </w:r>
      <w:r>
        <w:rPr>
          <w:rFonts w:hint="eastAsia" w:ascii="仿宋_GB2312" w:hAnsi="仿宋_GB2312" w:eastAsia="仿宋_GB2312" w:cs="仿宋_GB2312"/>
          <w:bCs/>
          <w:sz w:val="28"/>
          <w:szCs w:val="28"/>
          <w:highlight w:val="none"/>
          <w:lang w:eastAsia="zh-CN"/>
        </w:rPr>
        <w:t>、</w:t>
      </w:r>
      <w:r>
        <w:rPr>
          <w:rFonts w:hint="eastAsia" w:ascii="仿宋_GB2312" w:hAnsi="仿宋_GB2312" w:eastAsia="仿宋_GB2312" w:cs="仿宋_GB2312"/>
          <w:bCs/>
          <w:sz w:val="28"/>
          <w:szCs w:val="28"/>
          <w:highlight w:val="none"/>
        </w:rPr>
        <w:t>整体运营方案</w:t>
      </w:r>
    </w:p>
    <w:p>
      <w:pPr>
        <w:ind w:firstLine="560"/>
        <w:jc w:val="left"/>
        <w:outlineLvl w:val="1"/>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highlight w:val="none"/>
        </w:rPr>
        <w:t>本项目是</w:t>
      </w:r>
      <w:r>
        <w:rPr>
          <w:rFonts w:hint="eastAsia" w:ascii="仿宋_GB2312" w:hAnsi="仿宋_GB2312" w:eastAsia="仿宋_GB2312" w:cs="仿宋_GB2312"/>
          <w:bCs/>
          <w:sz w:val="28"/>
          <w:szCs w:val="28"/>
          <w:highlight w:val="none"/>
          <w:lang w:eastAsia="zh-CN"/>
        </w:rPr>
        <w:t>武安市</w:t>
      </w:r>
      <w:r>
        <w:rPr>
          <w:rFonts w:hint="eastAsia" w:ascii="仿宋_GB2312" w:hAnsi="仿宋_GB2312" w:eastAsia="仿宋_GB2312" w:cs="仿宋_GB2312"/>
          <w:bCs/>
          <w:sz w:val="28"/>
          <w:szCs w:val="28"/>
          <w:highlight w:val="none"/>
          <w:lang w:val="en-US" w:eastAsia="zh-CN"/>
        </w:rPr>
        <w:t>工业园区基础设施</w:t>
      </w:r>
      <w:r>
        <w:rPr>
          <w:rFonts w:hint="eastAsia" w:ascii="仿宋_GB2312" w:hAnsi="仿宋_GB2312" w:eastAsia="仿宋_GB2312" w:cs="仿宋_GB2312"/>
          <w:bCs/>
          <w:sz w:val="28"/>
          <w:szCs w:val="28"/>
          <w:highlight w:val="none"/>
        </w:rPr>
        <w:t>的重点项目，</w:t>
      </w:r>
      <w:r>
        <w:rPr>
          <w:rFonts w:hint="eastAsia" w:ascii="仿宋_GB2312" w:hAnsi="仿宋_GB2312" w:eastAsia="仿宋_GB2312" w:cs="仿宋_GB2312"/>
          <w:bCs/>
          <w:sz w:val="28"/>
          <w:szCs w:val="28"/>
          <w:highlight w:val="none"/>
          <w:lang w:eastAsia="zh-CN"/>
        </w:rPr>
        <w:t>项目建成后，整体运营方案是依据项目运营收入偿还债券本息</w:t>
      </w:r>
      <w:r>
        <w:rPr>
          <w:rFonts w:hint="eastAsia" w:ascii="仿宋_GB2312" w:hAnsi="仿宋_GB2312" w:eastAsia="仿宋_GB2312" w:cs="仿宋_GB2312"/>
          <w:bCs/>
          <w:sz w:val="28"/>
          <w:szCs w:val="28"/>
          <w:lang w:eastAsia="zh-CN"/>
        </w:rPr>
        <w:t>。</w:t>
      </w:r>
    </w:p>
    <w:p>
      <w:pPr>
        <w:pStyle w:val="20"/>
        <w:numPr>
          <w:ilvl w:val="0"/>
          <w:numId w:val="4"/>
        </w:numPr>
        <w:rPr>
          <w:rFonts w:hint="eastAsia" w:ascii="仿宋_GB2312" w:hAnsi="仿宋_GB2312" w:eastAsia="仿宋_GB2312" w:cs="仿宋_GB2312"/>
          <w:color w:val="000000"/>
          <w:sz w:val="28"/>
          <w:szCs w:val="24"/>
          <w:highlight w:val="none"/>
          <w:lang w:val="en-US" w:eastAsia="zh-CN"/>
        </w:rPr>
      </w:pPr>
      <w:r>
        <w:rPr>
          <w:rFonts w:hint="eastAsia" w:ascii="仿宋_GB2312" w:hAnsi="仿宋_GB2312" w:eastAsia="仿宋_GB2312" w:cs="仿宋_GB2312"/>
          <w:color w:val="000000"/>
          <w:sz w:val="28"/>
          <w:szCs w:val="24"/>
          <w:highlight w:val="none"/>
          <w:lang w:val="en-US" w:eastAsia="zh-CN"/>
        </w:rPr>
        <w:t>具体运营内容</w:t>
      </w:r>
    </w:p>
    <w:p>
      <w:pPr>
        <w:ind w:firstLine="560"/>
        <w:jc w:val="left"/>
        <w:outlineLvl w:val="1"/>
        <w:rPr>
          <w:rFonts w:hint="eastAsia" w:ascii="仿宋_GB2312" w:hAnsi="仿宋_GB2312" w:eastAsia="仿宋_GB2312" w:cs="仿宋_GB2312"/>
          <w:sz w:val="28"/>
          <w:szCs w:val="28"/>
          <w:lang w:eastAsia="zh-CN"/>
        </w:rPr>
      </w:pPr>
      <w:r>
        <w:rPr>
          <w:rFonts w:hint="eastAsia" w:ascii="仿宋_GB2312" w:hAnsi="仿宋_GB2312" w:eastAsia="仿宋_GB2312" w:cs="仿宋_GB2312"/>
          <w:bCs/>
          <w:sz w:val="28"/>
          <w:szCs w:val="28"/>
          <w:lang w:eastAsia="zh-CN"/>
        </w:rPr>
        <w:t>武安工业园区产城融合示范区基础设施建设项目(二期)建成后，收入</w:t>
      </w:r>
      <w:r>
        <w:rPr>
          <w:rFonts w:hint="eastAsia" w:ascii="仿宋_GB2312" w:hAnsi="仿宋_GB2312" w:eastAsia="仿宋_GB2312" w:cs="仿宋_GB2312"/>
          <w:bCs/>
          <w:sz w:val="28"/>
          <w:szCs w:val="28"/>
        </w:rPr>
        <w:t>来源</w:t>
      </w:r>
      <w:r>
        <w:rPr>
          <w:rFonts w:hint="eastAsia" w:ascii="仿宋_GB2312" w:hAnsi="仿宋_GB2312" w:eastAsia="仿宋_GB2312" w:cs="仿宋_GB2312"/>
          <w:bCs/>
          <w:sz w:val="28"/>
          <w:szCs w:val="28"/>
          <w:lang w:eastAsia="zh-CN"/>
        </w:rPr>
        <w:t>主要有</w:t>
      </w:r>
      <w:r>
        <w:rPr>
          <w:rFonts w:hint="eastAsia" w:ascii="仿宋_GB2312" w:hAnsi="仿宋_GB2312" w:eastAsia="仿宋_GB2312" w:cs="仿宋_GB2312"/>
          <w:bCs/>
          <w:sz w:val="28"/>
          <w:szCs w:val="28"/>
          <w:lang w:val="en-US" w:eastAsia="zh-CN"/>
        </w:rPr>
        <w:t>土地出让收入和城市配套费收入</w:t>
      </w:r>
      <w:r>
        <w:rPr>
          <w:rFonts w:hint="eastAsia" w:ascii="仿宋_GB2312" w:hAnsi="仿宋_GB2312" w:eastAsia="仿宋_GB2312" w:cs="仿宋_GB2312"/>
          <w:bCs/>
          <w:sz w:val="28"/>
          <w:szCs w:val="28"/>
        </w:rPr>
        <w:t>。</w:t>
      </w:r>
    </w:p>
    <w:p>
      <w:pPr>
        <w:ind w:firstLine="560" w:firstLineChars="200"/>
        <w:outlineLvl w:val="1"/>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val="en-US" w:eastAsia="zh-CN"/>
        </w:rPr>
        <w:t>二</w:t>
      </w:r>
      <w:r>
        <w:rPr>
          <w:rFonts w:hint="eastAsia" w:ascii="仿宋_GB2312" w:hAnsi="仿宋_GB2312" w:eastAsia="仿宋_GB2312" w:cs="仿宋_GB2312"/>
          <w:sz w:val="28"/>
          <w:szCs w:val="28"/>
          <w:highlight w:val="none"/>
        </w:rPr>
        <w:t>）项目运营收益估算</w:t>
      </w:r>
    </w:p>
    <w:p>
      <w:pPr>
        <w:ind w:firstLine="560" w:firstLineChars="200"/>
        <w:outlineLvl w:val="2"/>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1.项目收入</w:t>
      </w:r>
    </w:p>
    <w:p>
      <w:pPr>
        <w:ind w:firstLine="560"/>
        <w:jc w:val="left"/>
        <w:outlineLvl w:val="1"/>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1</w:t>
      </w:r>
      <w:r>
        <w:rPr>
          <w:rFonts w:hint="eastAsia" w:ascii="仿宋_GB2312" w:hAnsi="仿宋_GB2312" w:eastAsia="仿宋_GB2312" w:cs="仿宋_GB2312"/>
          <w:bCs/>
          <w:sz w:val="28"/>
          <w:szCs w:val="28"/>
          <w:highlight w:val="none"/>
          <w:lang w:eastAsia="zh-CN"/>
        </w:rPr>
        <w:t>）</w:t>
      </w:r>
      <w:r>
        <w:rPr>
          <w:rFonts w:hint="eastAsia" w:ascii="仿宋_GB2312" w:hAnsi="仿宋_GB2312" w:eastAsia="仿宋_GB2312" w:cs="仿宋_GB2312"/>
          <w:bCs/>
          <w:sz w:val="28"/>
          <w:szCs w:val="28"/>
          <w:highlight w:val="none"/>
        </w:rPr>
        <w:t>土地出让收入：</w:t>
      </w:r>
    </w:p>
    <w:p>
      <w:pPr>
        <w:ind w:firstLine="560"/>
        <w:jc w:val="left"/>
        <w:outlineLvl w:val="1"/>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预计出让园区内土地 1272.75 亩，土地性质为工业用地，预计 2025 年出让，单价为 28.37 万元/亩，土地出让收入为 36110.72 万 元。基金成本 11735.39 万元，土地净收益 24375.33 万元。具体情 况如下：</w:t>
      </w:r>
    </w:p>
    <w:p>
      <w:pPr>
        <w:ind w:firstLine="560" w:firstLineChars="200"/>
        <w:jc w:val="left"/>
        <w:outlineLvl w:val="1"/>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通过查询武安市土地出让交易信息，选取了本区域如下近期土</w:t>
      </w:r>
    </w:p>
    <w:p>
      <w:pPr>
        <w:jc w:val="left"/>
        <w:outlineLvl w:val="1"/>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地出让信息，本次评价参考下述土地出让情况进行预测。</w:t>
      </w:r>
    </w:p>
    <w:tbl>
      <w:tblPr>
        <w:tblStyle w:val="86"/>
        <w:tblW w:w="821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89"/>
        <w:gridCol w:w="1105"/>
        <w:gridCol w:w="1172"/>
        <w:gridCol w:w="1274"/>
        <w:gridCol w:w="1330"/>
        <w:gridCol w:w="114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0" w:hRule="atLeast"/>
        </w:trPr>
        <w:tc>
          <w:tcPr>
            <w:tcW w:w="2189" w:type="dxa"/>
            <w:vAlign w:val="top"/>
          </w:tcPr>
          <w:p>
            <w:pPr>
              <w:spacing w:before="183" w:line="224" w:lineRule="auto"/>
              <w:ind w:left="637"/>
              <w:rPr>
                <w:rFonts w:hint="eastAsia" w:ascii="仿宋_GB2312" w:hAnsi="仿宋_GB2312" w:eastAsia="仿宋_GB2312" w:cs="仿宋_GB2312"/>
                <w:sz w:val="20"/>
                <w:szCs w:val="20"/>
              </w:rPr>
            </w:pPr>
            <w:r>
              <w:rPr>
                <w:rFonts w:hint="eastAsia" w:ascii="仿宋_GB2312" w:hAnsi="仿宋_GB2312" w:eastAsia="仿宋_GB2312" w:cs="仿宋_GB2312"/>
                <w:spacing w:val="9"/>
                <w:sz w:val="20"/>
                <w:szCs w:val="20"/>
                <w14:textOutline w14:w="3795" w14:cap="sq" w14:cmpd="sng">
                  <w14:solidFill>
                    <w14:srgbClr w14:val="000000"/>
                  </w14:solidFill>
                  <w14:prstDash w14:val="solid"/>
                  <w14:bevel/>
                </w14:textOutline>
              </w:rPr>
              <w:t>地块名称</w:t>
            </w:r>
          </w:p>
        </w:tc>
        <w:tc>
          <w:tcPr>
            <w:tcW w:w="1105" w:type="dxa"/>
            <w:vAlign w:val="top"/>
          </w:tcPr>
          <w:p>
            <w:pPr>
              <w:spacing w:before="47" w:line="226" w:lineRule="auto"/>
              <w:ind w:firstLine="204" w:firstLineChars="100"/>
              <w:rPr>
                <w:rFonts w:hint="eastAsia" w:ascii="仿宋_GB2312" w:hAnsi="仿宋_GB2312" w:eastAsia="仿宋_GB2312" w:cs="仿宋_GB2312"/>
                <w:sz w:val="20"/>
                <w:szCs w:val="20"/>
              </w:rPr>
            </w:pPr>
            <w:r>
              <w:rPr>
                <w:rFonts w:hint="eastAsia" w:ascii="仿宋_GB2312" w:hAnsi="仿宋_GB2312" w:eastAsia="仿宋_GB2312" w:cs="仿宋_GB2312"/>
                <w:spacing w:val="2"/>
                <w:sz w:val="20"/>
                <w:szCs w:val="20"/>
                <w14:textOutline w14:w="3795" w14:cap="sq" w14:cmpd="sng">
                  <w14:solidFill>
                    <w14:srgbClr w14:val="000000"/>
                  </w14:solidFill>
                  <w14:prstDash w14:val="solid"/>
                  <w14:bevel/>
                </w14:textOutline>
              </w:rPr>
              <w:t>出让面</w:t>
            </w:r>
            <w:r>
              <w:rPr>
                <w:rFonts w:hint="eastAsia" w:ascii="仿宋_GB2312" w:hAnsi="仿宋_GB2312" w:eastAsia="仿宋_GB2312" w:cs="仿宋_GB2312"/>
                <w:spacing w:val="1"/>
                <w:sz w:val="20"/>
                <w:szCs w:val="20"/>
                <w14:textOutline w14:w="3795" w14:cap="sq" w14:cmpd="sng">
                  <w14:solidFill>
                    <w14:srgbClr w14:val="000000"/>
                  </w14:solidFill>
                  <w14:prstDash w14:val="solid"/>
                  <w14:bevel/>
                </w14:textOutline>
              </w:rPr>
              <w:t>积</w:t>
            </w:r>
          </w:p>
          <w:p>
            <w:pPr>
              <w:spacing w:before="28" w:line="227" w:lineRule="auto"/>
              <w:ind w:left="339"/>
              <w:rPr>
                <w:rFonts w:hint="eastAsia" w:ascii="仿宋_GB2312" w:hAnsi="仿宋_GB2312" w:eastAsia="仿宋_GB2312" w:cs="仿宋_GB2312"/>
                <w:sz w:val="20"/>
                <w:szCs w:val="20"/>
              </w:rPr>
            </w:pPr>
            <w:r>
              <w:rPr>
                <w:rFonts w:hint="eastAsia" w:ascii="仿宋_GB2312" w:hAnsi="仿宋_GB2312" w:eastAsia="仿宋_GB2312" w:cs="仿宋_GB2312"/>
                <w:spacing w:val="20"/>
                <w:sz w:val="20"/>
                <w:szCs w:val="20"/>
                <w14:textOutline w14:w="3795" w14:cap="sq" w14:cmpd="sng">
                  <w14:solidFill>
                    <w14:srgbClr w14:val="000000"/>
                  </w14:solidFill>
                  <w14:prstDash w14:val="solid"/>
                  <w14:bevel/>
                </w14:textOutline>
              </w:rPr>
              <w:t>(</w:t>
            </w:r>
            <w:r>
              <w:rPr>
                <w:rFonts w:hint="eastAsia" w:ascii="仿宋_GB2312" w:hAnsi="仿宋_GB2312" w:eastAsia="仿宋_GB2312" w:cs="仿宋_GB2312"/>
                <w:spacing w:val="18"/>
                <w:sz w:val="20"/>
                <w:szCs w:val="20"/>
                <w14:textOutline w14:w="3795" w14:cap="sq" w14:cmpd="sng">
                  <w14:solidFill>
                    <w14:srgbClr w14:val="000000"/>
                  </w14:solidFill>
                  <w14:prstDash w14:val="solid"/>
                  <w14:bevel/>
                </w14:textOutline>
              </w:rPr>
              <w:t>亩)</w:t>
            </w:r>
          </w:p>
        </w:tc>
        <w:tc>
          <w:tcPr>
            <w:tcW w:w="1172" w:type="dxa"/>
            <w:vAlign w:val="top"/>
          </w:tcPr>
          <w:p>
            <w:pPr>
              <w:spacing w:before="46"/>
              <w:ind w:left="191" w:right="182" w:firstLine="30"/>
              <w:rPr>
                <w:rFonts w:hint="eastAsia" w:ascii="仿宋_GB2312" w:hAnsi="仿宋_GB2312" w:eastAsia="仿宋_GB2312" w:cs="仿宋_GB2312"/>
                <w:sz w:val="20"/>
                <w:szCs w:val="20"/>
              </w:rPr>
            </w:pPr>
            <w:r>
              <w:rPr>
                <w:rFonts w:hint="eastAsia" w:ascii="仿宋_GB2312" w:hAnsi="仿宋_GB2312" w:eastAsia="仿宋_GB2312" w:cs="仿宋_GB2312"/>
                <w:spacing w:val="2"/>
                <w:sz w:val="20"/>
                <w:szCs w:val="20"/>
                <w14:textOutline w14:w="3795" w14:cap="sq" w14:cmpd="sng">
                  <w14:solidFill>
                    <w14:srgbClr w14:val="000000"/>
                  </w14:solidFill>
                  <w14:prstDash w14:val="solid"/>
                  <w14:bevel/>
                </w14:textOutline>
              </w:rPr>
              <w:t>出让价</w:t>
            </w:r>
            <w:r>
              <w:rPr>
                <w:rFonts w:hint="eastAsia" w:ascii="仿宋_GB2312" w:hAnsi="仿宋_GB2312" w:eastAsia="仿宋_GB2312" w:cs="仿宋_GB2312"/>
                <w:spacing w:val="1"/>
                <w:sz w:val="20"/>
                <w:szCs w:val="20"/>
                <w14:textOutline w14:w="3795" w14:cap="sq" w14:cmpd="sng">
                  <w14:solidFill>
                    <w14:srgbClr w14:val="000000"/>
                  </w14:solidFill>
                  <w14:prstDash w14:val="solid"/>
                  <w14:bevel/>
                </w14:textOutline>
              </w:rPr>
              <w:t>格</w:t>
            </w:r>
            <w:r>
              <w:rPr>
                <w:rFonts w:hint="eastAsia" w:ascii="仿宋_GB2312" w:hAnsi="仿宋_GB2312" w:eastAsia="仿宋_GB2312" w:cs="仿宋_GB2312"/>
                <w:spacing w:val="-11"/>
                <w:sz w:val="20"/>
                <w:szCs w:val="20"/>
                <w14:textOutline w14:w="3795" w14:cap="sq" w14:cmpd="sng">
                  <w14:solidFill>
                    <w14:srgbClr w14:val="000000"/>
                  </w14:solidFill>
                  <w14:prstDash w14:val="solid"/>
                  <w14:bevel/>
                </w14:textOutline>
              </w:rPr>
              <w:t>万元</w:t>
            </w:r>
            <w:r>
              <w:rPr>
                <w:rFonts w:hint="eastAsia" w:ascii="仿宋_GB2312" w:hAnsi="仿宋_GB2312" w:eastAsia="仿宋_GB2312" w:cs="仿宋_GB2312"/>
                <w:spacing w:val="-11"/>
                <w:sz w:val="20"/>
                <w:szCs w:val="20"/>
              </w:rPr>
              <w:t xml:space="preserve"> </w:t>
            </w:r>
            <w:r>
              <w:rPr>
                <w:rFonts w:hint="eastAsia" w:ascii="仿宋_GB2312" w:hAnsi="仿宋_GB2312" w:eastAsia="仿宋_GB2312" w:cs="仿宋_GB2312"/>
                <w:spacing w:val="-11"/>
                <w:sz w:val="20"/>
                <w:szCs w:val="20"/>
                <w14:textOutline w14:w="3795" w14:cap="sq" w14:cmpd="sng">
                  <w14:solidFill>
                    <w14:srgbClr w14:val="000000"/>
                  </w14:solidFill>
                  <w14:prstDash w14:val="solid"/>
                  <w14:bevel/>
                </w14:textOutline>
              </w:rPr>
              <w:t>)</w:t>
            </w:r>
          </w:p>
        </w:tc>
        <w:tc>
          <w:tcPr>
            <w:tcW w:w="1274" w:type="dxa"/>
            <w:vAlign w:val="top"/>
          </w:tcPr>
          <w:p>
            <w:pPr>
              <w:spacing w:before="184" w:line="223" w:lineRule="auto"/>
              <w:ind w:left="245"/>
              <w:rPr>
                <w:rFonts w:hint="eastAsia" w:ascii="仿宋_GB2312" w:hAnsi="仿宋_GB2312" w:eastAsia="仿宋_GB2312" w:cs="仿宋_GB2312"/>
                <w:sz w:val="20"/>
                <w:szCs w:val="20"/>
              </w:rPr>
            </w:pPr>
            <w:r>
              <w:rPr>
                <w:rFonts w:hint="eastAsia" w:ascii="仿宋_GB2312" w:hAnsi="仿宋_GB2312" w:eastAsia="仿宋_GB2312" w:cs="仿宋_GB2312"/>
                <w:spacing w:val="9"/>
                <w:sz w:val="20"/>
                <w:szCs w:val="20"/>
                <w14:textOutline w14:w="3795" w14:cap="sq" w14:cmpd="sng">
                  <w14:solidFill>
                    <w14:srgbClr w14:val="000000"/>
                  </w14:solidFill>
                  <w14:prstDash w14:val="solid"/>
                  <w14:bevel/>
                </w14:textOutline>
              </w:rPr>
              <w:t>地块性质</w:t>
            </w:r>
          </w:p>
        </w:tc>
        <w:tc>
          <w:tcPr>
            <w:tcW w:w="1330" w:type="dxa"/>
            <w:vAlign w:val="top"/>
          </w:tcPr>
          <w:p>
            <w:pPr>
              <w:spacing w:before="46"/>
              <w:ind w:right="110" w:firstLine="208" w:firstLineChars="100"/>
              <w:rPr>
                <w:rFonts w:hint="eastAsia" w:ascii="仿宋_GB2312" w:hAnsi="仿宋_GB2312" w:eastAsia="仿宋_GB2312" w:cs="仿宋_GB2312"/>
                <w:sz w:val="20"/>
                <w:szCs w:val="20"/>
              </w:rPr>
            </w:pPr>
            <w:r>
              <w:rPr>
                <w:rFonts w:hint="eastAsia" w:ascii="仿宋_GB2312" w:hAnsi="仿宋_GB2312" w:eastAsia="仿宋_GB2312" w:cs="仿宋_GB2312"/>
                <w:spacing w:val="4"/>
                <w:sz w:val="20"/>
                <w:szCs w:val="20"/>
                <w14:textOutline w14:w="3795" w14:cap="sq" w14:cmpd="sng">
                  <w14:solidFill>
                    <w14:srgbClr w14:val="000000"/>
                  </w14:solidFill>
                  <w14:prstDash w14:val="solid"/>
                  <w14:bevel/>
                </w14:textOutline>
              </w:rPr>
              <w:t>单</w:t>
            </w:r>
            <w:r>
              <w:rPr>
                <w:rFonts w:hint="eastAsia" w:ascii="仿宋_GB2312" w:hAnsi="仿宋_GB2312" w:eastAsia="仿宋_GB2312" w:cs="仿宋_GB2312"/>
                <w:spacing w:val="3"/>
                <w:sz w:val="20"/>
                <w:szCs w:val="20"/>
                <w14:textOutline w14:w="3795" w14:cap="sq" w14:cmpd="sng">
                  <w14:solidFill>
                    <w14:srgbClr w14:val="000000"/>
                  </w14:solidFill>
                  <w14:prstDash w14:val="solid"/>
                  <w14:bevel/>
                </w14:textOutline>
              </w:rPr>
              <w:t>价</w:t>
            </w:r>
            <w:r>
              <w:rPr>
                <w:rFonts w:hint="eastAsia" w:ascii="仿宋_GB2312" w:hAnsi="仿宋_GB2312" w:eastAsia="仿宋_GB2312" w:cs="仿宋_GB2312"/>
                <w:spacing w:val="-11"/>
                <w:sz w:val="20"/>
                <w:szCs w:val="20"/>
                <w14:textOutline w14:w="3795" w14:cap="sq" w14:cmpd="sng">
                  <w14:solidFill>
                    <w14:srgbClr w14:val="000000"/>
                  </w14:solidFill>
                  <w14:prstDash w14:val="solid"/>
                  <w14:bevel/>
                </w14:textOutline>
              </w:rPr>
              <w:t>(</w:t>
            </w:r>
            <w:r>
              <w:rPr>
                <w:rFonts w:hint="eastAsia" w:ascii="仿宋_GB2312" w:hAnsi="仿宋_GB2312" w:eastAsia="仿宋_GB2312" w:cs="仿宋_GB2312"/>
                <w:spacing w:val="-6"/>
                <w:sz w:val="20"/>
                <w:szCs w:val="20"/>
              </w:rPr>
              <w:t xml:space="preserve"> </w:t>
            </w:r>
            <w:r>
              <w:rPr>
                <w:rFonts w:hint="eastAsia" w:ascii="仿宋_GB2312" w:hAnsi="仿宋_GB2312" w:eastAsia="仿宋_GB2312" w:cs="仿宋_GB2312"/>
                <w:spacing w:val="-6"/>
                <w:sz w:val="20"/>
                <w:szCs w:val="20"/>
                <w14:textOutline w14:w="3795" w14:cap="sq" w14:cmpd="sng">
                  <w14:solidFill>
                    <w14:srgbClr w14:val="000000"/>
                  </w14:solidFill>
                  <w14:prstDash w14:val="solid"/>
                  <w14:bevel/>
                </w14:textOutline>
              </w:rPr>
              <w:t>万元/亩</w:t>
            </w:r>
            <w:r>
              <w:rPr>
                <w:rFonts w:hint="eastAsia" w:ascii="仿宋_GB2312" w:hAnsi="仿宋_GB2312" w:eastAsia="仿宋_GB2312" w:cs="仿宋_GB2312"/>
                <w:spacing w:val="-6"/>
                <w:sz w:val="20"/>
                <w:szCs w:val="20"/>
              </w:rPr>
              <w:t xml:space="preserve"> </w:t>
            </w:r>
            <w:r>
              <w:rPr>
                <w:rFonts w:hint="eastAsia" w:ascii="仿宋_GB2312" w:hAnsi="仿宋_GB2312" w:eastAsia="仿宋_GB2312" w:cs="仿宋_GB2312"/>
                <w:spacing w:val="-6"/>
                <w:sz w:val="20"/>
                <w:szCs w:val="20"/>
                <w14:textOutline w14:w="3795" w14:cap="sq" w14:cmpd="sng">
                  <w14:solidFill>
                    <w14:srgbClr w14:val="000000"/>
                  </w14:solidFill>
                  <w14:prstDash w14:val="solid"/>
                  <w14:bevel/>
                </w14:textOutline>
              </w:rPr>
              <w:t>)</w:t>
            </w:r>
          </w:p>
        </w:tc>
        <w:tc>
          <w:tcPr>
            <w:tcW w:w="1147" w:type="dxa"/>
            <w:vAlign w:val="top"/>
          </w:tcPr>
          <w:p>
            <w:pPr>
              <w:spacing w:before="184" w:line="226" w:lineRule="auto"/>
              <w:ind w:left="207"/>
              <w:rPr>
                <w:rFonts w:hint="eastAsia" w:ascii="仿宋_GB2312" w:hAnsi="仿宋_GB2312" w:eastAsia="仿宋_GB2312" w:cs="仿宋_GB2312"/>
                <w:sz w:val="20"/>
                <w:szCs w:val="20"/>
              </w:rPr>
            </w:pPr>
            <w:r>
              <w:rPr>
                <w:rFonts w:hint="eastAsia" w:ascii="仿宋_GB2312" w:hAnsi="仿宋_GB2312" w:eastAsia="仿宋_GB2312" w:cs="仿宋_GB2312"/>
                <w:spacing w:val="2"/>
                <w:sz w:val="20"/>
                <w:szCs w:val="20"/>
                <w14:textOutline w14:w="3795" w14:cap="sq" w14:cmpd="sng">
                  <w14:solidFill>
                    <w14:srgbClr w14:val="000000"/>
                  </w14:solidFill>
                  <w14:prstDash w14:val="solid"/>
                  <w14:bevel/>
                </w14:textOutline>
              </w:rPr>
              <w:t>出让日</w:t>
            </w:r>
            <w:r>
              <w:rPr>
                <w:rFonts w:hint="eastAsia" w:ascii="仿宋_GB2312" w:hAnsi="仿宋_GB2312" w:eastAsia="仿宋_GB2312" w:cs="仿宋_GB2312"/>
                <w:spacing w:val="1"/>
                <w:sz w:val="20"/>
                <w:szCs w:val="20"/>
                <w14:textOutline w14:w="3795" w14:cap="sq" w14:cmpd="sng">
                  <w14:solidFill>
                    <w14:srgbClr w14:val="000000"/>
                  </w14:solidFill>
                  <w14:prstDash w14:val="solid"/>
                  <w14:bevel/>
                </w14:textOutline>
              </w:rPr>
              <w:t>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7" w:hRule="atLeast"/>
        </w:trPr>
        <w:tc>
          <w:tcPr>
            <w:tcW w:w="2189" w:type="dxa"/>
            <w:vAlign w:val="top"/>
          </w:tcPr>
          <w:p>
            <w:pPr>
              <w:spacing w:before="44" w:line="239" w:lineRule="auto"/>
              <w:ind w:left="199" w:leftChars="95" w:right="214" w:firstLine="0" w:firstLineChars="0"/>
              <w:rPr>
                <w:rFonts w:hint="eastAsia" w:ascii="仿宋_GB2312" w:hAnsi="仿宋_GB2312" w:eastAsia="仿宋_GB2312" w:cs="仿宋_GB2312"/>
                <w:sz w:val="20"/>
                <w:szCs w:val="20"/>
              </w:rPr>
            </w:pPr>
            <w:r>
              <w:rPr>
                <w:rFonts w:hint="eastAsia" w:ascii="仿宋_GB2312" w:hAnsi="仿宋_GB2312" w:eastAsia="仿宋_GB2312" w:cs="仿宋_GB2312"/>
                <w:spacing w:val="9"/>
                <w:sz w:val="20"/>
                <w:szCs w:val="20"/>
              </w:rPr>
              <w:t>武</w:t>
            </w:r>
            <w:r>
              <w:rPr>
                <w:rFonts w:hint="eastAsia" w:ascii="仿宋_GB2312" w:hAnsi="仿宋_GB2312" w:eastAsia="仿宋_GB2312" w:cs="仿宋_GB2312"/>
                <w:spacing w:val="7"/>
                <w:sz w:val="20"/>
                <w:szCs w:val="20"/>
              </w:rPr>
              <w:t>安市邢峰公西</w:t>
            </w:r>
            <w:r>
              <w:rPr>
                <w:rFonts w:hint="eastAsia" w:ascii="仿宋_GB2312" w:hAnsi="仿宋_GB2312" w:eastAsia="仿宋_GB2312" w:cs="仿宋_GB2312"/>
                <w:spacing w:val="9"/>
                <w:sz w:val="20"/>
                <w:szCs w:val="20"/>
              </w:rPr>
              <w:t>侧、岩山村村北</w:t>
            </w:r>
          </w:p>
        </w:tc>
        <w:tc>
          <w:tcPr>
            <w:tcW w:w="1105" w:type="dxa"/>
            <w:vAlign w:val="top"/>
          </w:tcPr>
          <w:p>
            <w:pPr>
              <w:spacing w:before="209" w:line="192" w:lineRule="auto"/>
              <w:ind w:left="356"/>
              <w:rPr>
                <w:rFonts w:hint="eastAsia" w:ascii="仿宋_GB2312" w:hAnsi="仿宋_GB2312" w:eastAsia="仿宋_GB2312" w:cs="仿宋_GB2312"/>
                <w:sz w:val="20"/>
                <w:szCs w:val="20"/>
              </w:rPr>
            </w:pPr>
            <w:r>
              <w:rPr>
                <w:rFonts w:hint="eastAsia" w:ascii="仿宋_GB2312" w:hAnsi="仿宋_GB2312" w:eastAsia="仿宋_GB2312" w:cs="仿宋_GB2312"/>
                <w:spacing w:val="2"/>
                <w:sz w:val="20"/>
                <w:szCs w:val="20"/>
              </w:rPr>
              <w:t>16</w:t>
            </w:r>
            <w:r>
              <w:rPr>
                <w:rFonts w:hint="eastAsia" w:ascii="仿宋_GB2312" w:hAnsi="仿宋_GB2312" w:eastAsia="仿宋_GB2312" w:cs="仿宋_GB2312"/>
                <w:spacing w:val="1"/>
                <w:sz w:val="20"/>
                <w:szCs w:val="20"/>
              </w:rPr>
              <w:t>2.40</w:t>
            </w:r>
          </w:p>
        </w:tc>
        <w:tc>
          <w:tcPr>
            <w:tcW w:w="1172" w:type="dxa"/>
            <w:vAlign w:val="top"/>
          </w:tcPr>
          <w:p>
            <w:pPr>
              <w:spacing w:before="209" w:line="192" w:lineRule="auto"/>
              <w:ind w:left="261"/>
              <w:rPr>
                <w:rFonts w:hint="eastAsia" w:ascii="仿宋_GB2312" w:hAnsi="仿宋_GB2312" w:eastAsia="仿宋_GB2312" w:cs="仿宋_GB2312"/>
                <w:sz w:val="20"/>
                <w:szCs w:val="20"/>
              </w:rPr>
            </w:pPr>
            <w:r>
              <w:rPr>
                <w:rFonts w:hint="eastAsia" w:ascii="仿宋_GB2312" w:hAnsi="仿宋_GB2312" w:eastAsia="仿宋_GB2312" w:cs="仿宋_GB2312"/>
                <w:spacing w:val="2"/>
                <w:sz w:val="20"/>
                <w:szCs w:val="20"/>
              </w:rPr>
              <w:t>3950</w:t>
            </w:r>
            <w:r>
              <w:rPr>
                <w:rFonts w:hint="eastAsia" w:ascii="仿宋_GB2312" w:hAnsi="仿宋_GB2312" w:eastAsia="仿宋_GB2312" w:cs="仿宋_GB2312"/>
                <w:spacing w:val="1"/>
                <w:sz w:val="20"/>
                <w:szCs w:val="20"/>
              </w:rPr>
              <w:t>.00</w:t>
            </w:r>
          </w:p>
        </w:tc>
        <w:tc>
          <w:tcPr>
            <w:tcW w:w="1274" w:type="dxa"/>
            <w:vAlign w:val="top"/>
          </w:tcPr>
          <w:p>
            <w:pPr>
              <w:spacing w:before="182" w:line="227" w:lineRule="auto"/>
              <w:ind w:left="252"/>
              <w:rPr>
                <w:rFonts w:hint="eastAsia" w:ascii="仿宋_GB2312" w:hAnsi="仿宋_GB2312" w:eastAsia="仿宋_GB2312" w:cs="仿宋_GB2312"/>
                <w:sz w:val="20"/>
                <w:szCs w:val="20"/>
              </w:rPr>
            </w:pPr>
            <w:r>
              <w:rPr>
                <w:rFonts w:hint="eastAsia" w:ascii="仿宋_GB2312" w:hAnsi="仿宋_GB2312" w:eastAsia="仿宋_GB2312" w:cs="仿宋_GB2312"/>
                <w:spacing w:val="6"/>
                <w:sz w:val="20"/>
                <w:szCs w:val="20"/>
              </w:rPr>
              <w:t>工业用地</w:t>
            </w:r>
          </w:p>
        </w:tc>
        <w:tc>
          <w:tcPr>
            <w:tcW w:w="1330" w:type="dxa"/>
            <w:vAlign w:val="top"/>
          </w:tcPr>
          <w:p>
            <w:pPr>
              <w:spacing w:before="208" w:line="194" w:lineRule="auto"/>
              <w:ind w:left="443"/>
              <w:rPr>
                <w:rFonts w:hint="eastAsia" w:ascii="仿宋_GB2312" w:hAnsi="仿宋_GB2312" w:eastAsia="仿宋_GB2312" w:cs="仿宋_GB2312"/>
                <w:sz w:val="20"/>
                <w:szCs w:val="20"/>
              </w:rPr>
            </w:pPr>
            <w:r>
              <w:rPr>
                <w:rFonts w:hint="eastAsia" w:ascii="仿宋_GB2312" w:hAnsi="仿宋_GB2312" w:eastAsia="仿宋_GB2312" w:cs="仿宋_GB2312"/>
                <w:spacing w:val="2"/>
                <w:sz w:val="20"/>
                <w:szCs w:val="20"/>
              </w:rPr>
              <w:t>24.</w:t>
            </w:r>
            <w:r>
              <w:rPr>
                <w:rFonts w:hint="eastAsia" w:ascii="仿宋_GB2312" w:hAnsi="仿宋_GB2312" w:eastAsia="仿宋_GB2312" w:cs="仿宋_GB2312"/>
                <w:spacing w:val="1"/>
                <w:sz w:val="20"/>
                <w:szCs w:val="20"/>
              </w:rPr>
              <w:t>32</w:t>
            </w:r>
          </w:p>
        </w:tc>
        <w:tc>
          <w:tcPr>
            <w:tcW w:w="1147" w:type="dxa"/>
            <w:vAlign w:val="top"/>
          </w:tcPr>
          <w:p>
            <w:pPr>
              <w:spacing w:before="182" w:line="229" w:lineRule="auto"/>
              <w:ind w:left="135"/>
              <w:rPr>
                <w:rFonts w:hint="eastAsia" w:ascii="仿宋_GB2312" w:hAnsi="仿宋_GB2312" w:eastAsia="仿宋_GB2312" w:cs="仿宋_GB2312"/>
                <w:sz w:val="20"/>
                <w:szCs w:val="20"/>
              </w:rPr>
            </w:pPr>
            <w:r>
              <w:rPr>
                <w:rFonts w:hint="eastAsia" w:ascii="仿宋_GB2312" w:hAnsi="仿宋_GB2312" w:eastAsia="仿宋_GB2312" w:cs="仿宋_GB2312"/>
                <w:spacing w:val="4"/>
                <w:sz w:val="20"/>
                <w:szCs w:val="20"/>
              </w:rPr>
              <w:t>2</w:t>
            </w:r>
            <w:r>
              <w:rPr>
                <w:rFonts w:hint="eastAsia" w:ascii="仿宋_GB2312" w:hAnsi="仿宋_GB2312" w:eastAsia="仿宋_GB2312" w:cs="仿宋_GB2312"/>
                <w:spacing w:val="3"/>
                <w:sz w:val="20"/>
                <w:szCs w:val="20"/>
              </w:rPr>
              <w:t>022/6/15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7" w:hRule="atLeast"/>
        </w:trPr>
        <w:tc>
          <w:tcPr>
            <w:tcW w:w="2189" w:type="dxa"/>
            <w:vAlign w:val="top"/>
          </w:tcPr>
          <w:p>
            <w:pPr>
              <w:spacing w:before="44"/>
              <w:ind w:left="199" w:leftChars="95" w:right="317" w:firstLine="0" w:firstLineChars="0"/>
              <w:rPr>
                <w:rFonts w:hint="eastAsia" w:ascii="仿宋_GB2312" w:hAnsi="仿宋_GB2312" w:eastAsia="仿宋_GB2312" w:cs="仿宋_GB2312"/>
                <w:sz w:val="20"/>
                <w:szCs w:val="20"/>
              </w:rPr>
            </w:pPr>
            <w:r>
              <w:rPr>
                <w:rFonts w:hint="eastAsia" w:ascii="仿宋_GB2312" w:hAnsi="仿宋_GB2312" w:eastAsia="仿宋_GB2312" w:cs="仿宋_GB2312"/>
                <w:spacing w:val="7"/>
                <w:sz w:val="20"/>
                <w:szCs w:val="20"/>
              </w:rPr>
              <w:t>武安市西三环西</w:t>
            </w:r>
            <w:r>
              <w:rPr>
                <w:rFonts w:hint="eastAsia" w:ascii="仿宋_GB2312" w:hAnsi="仿宋_GB2312" w:eastAsia="仿宋_GB2312" w:cs="仿宋_GB2312"/>
                <w:spacing w:val="9"/>
                <w:sz w:val="20"/>
                <w:szCs w:val="20"/>
              </w:rPr>
              <w:t>侧、福园道南侧</w:t>
            </w:r>
          </w:p>
        </w:tc>
        <w:tc>
          <w:tcPr>
            <w:tcW w:w="1105" w:type="dxa"/>
            <w:vAlign w:val="top"/>
          </w:tcPr>
          <w:p>
            <w:pPr>
              <w:spacing w:before="209" w:line="192" w:lineRule="auto"/>
              <w:ind w:left="351"/>
              <w:rPr>
                <w:rFonts w:hint="eastAsia" w:ascii="仿宋_GB2312" w:hAnsi="仿宋_GB2312" w:eastAsia="仿宋_GB2312" w:cs="仿宋_GB2312"/>
                <w:sz w:val="20"/>
                <w:szCs w:val="20"/>
              </w:rPr>
            </w:pPr>
            <w:r>
              <w:rPr>
                <w:rFonts w:hint="eastAsia" w:ascii="仿宋_GB2312" w:hAnsi="仿宋_GB2312" w:eastAsia="仿宋_GB2312" w:cs="仿宋_GB2312"/>
                <w:spacing w:val="3"/>
                <w:sz w:val="20"/>
                <w:szCs w:val="20"/>
              </w:rPr>
              <w:t>2</w:t>
            </w:r>
            <w:r>
              <w:rPr>
                <w:rFonts w:hint="eastAsia" w:ascii="仿宋_GB2312" w:hAnsi="仿宋_GB2312" w:eastAsia="仿宋_GB2312" w:cs="仿宋_GB2312"/>
                <w:spacing w:val="2"/>
                <w:sz w:val="20"/>
                <w:szCs w:val="20"/>
              </w:rPr>
              <w:t>90.18</w:t>
            </w:r>
          </w:p>
        </w:tc>
        <w:tc>
          <w:tcPr>
            <w:tcW w:w="1172" w:type="dxa"/>
            <w:vAlign w:val="top"/>
          </w:tcPr>
          <w:p>
            <w:pPr>
              <w:spacing w:before="209" w:line="192" w:lineRule="auto"/>
              <w:ind w:left="254"/>
              <w:rPr>
                <w:rFonts w:hint="eastAsia" w:ascii="仿宋_GB2312" w:hAnsi="仿宋_GB2312" w:eastAsia="仿宋_GB2312" w:cs="仿宋_GB2312"/>
                <w:sz w:val="20"/>
                <w:szCs w:val="20"/>
              </w:rPr>
            </w:pPr>
            <w:r>
              <w:rPr>
                <w:rFonts w:hint="eastAsia" w:ascii="仿宋_GB2312" w:hAnsi="仿宋_GB2312" w:eastAsia="仿宋_GB2312" w:cs="仿宋_GB2312"/>
                <w:spacing w:val="4"/>
                <w:sz w:val="20"/>
                <w:szCs w:val="20"/>
              </w:rPr>
              <w:t>7</w:t>
            </w:r>
            <w:r>
              <w:rPr>
                <w:rFonts w:hint="eastAsia" w:ascii="仿宋_GB2312" w:hAnsi="仿宋_GB2312" w:eastAsia="仿宋_GB2312" w:cs="仿宋_GB2312"/>
                <w:spacing w:val="3"/>
                <w:sz w:val="20"/>
                <w:szCs w:val="20"/>
              </w:rPr>
              <w:t>0</w:t>
            </w:r>
            <w:r>
              <w:rPr>
                <w:rFonts w:hint="eastAsia" w:ascii="仿宋_GB2312" w:hAnsi="仿宋_GB2312" w:eastAsia="仿宋_GB2312" w:cs="仿宋_GB2312"/>
                <w:spacing w:val="2"/>
                <w:sz w:val="20"/>
                <w:szCs w:val="20"/>
              </w:rPr>
              <w:t>40.00</w:t>
            </w:r>
          </w:p>
        </w:tc>
        <w:tc>
          <w:tcPr>
            <w:tcW w:w="1274" w:type="dxa"/>
            <w:vAlign w:val="top"/>
          </w:tcPr>
          <w:p>
            <w:pPr>
              <w:spacing w:before="182" w:line="227" w:lineRule="auto"/>
              <w:ind w:left="252"/>
              <w:rPr>
                <w:rFonts w:hint="eastAsia" w:ascii="仿宋_GB2312" w:hAnsi="仿宋_GB2312" w:eastAsia="仿宋_GB2312" w:cs="仿宋_GB2312"/>
                <w:sz w:val="20"/>
                <w:szCs w:val="20"/>
              </w:rPr>
            </w:pPr>
            <w:r>
              <w:rPr>
                <w:rFonts w:hint="eastAsia" w:ascii="仿宋_GB2312" w:hAnsi="仿宋_GB2312" w:eastAsia="仿宋_GB2312" w:cs="仿宋_GB2312"/>
                <w:spacing w:val="6"/>
                <w:sz w:val="20"/>
                <w:szCs w:val="20"/>
              </w:rPr>
              <w:t>工业用地</w:t>
            </w:r>
          </w:p>
        </w:tc>
        <w:tc>
          <w:tcPr>
            <w:tcW w:w="1330" w:type="dxa"/>
            <w:vAlign w:val="top"/>
          </w:tcPr>
          <w:p>
            <w:pPr>
              <w:spacing w:before="208" w:line="194" w:lineRule="auto"/>
              <w:ind w:left="443"/>
              <w:rPr>
                <w:rFonts w:hint="eastAsia" w:ascii="仿宋_GB2312" w:hAnsi="仿宋_GB2312" w:eastAsia="仿宋_GB2312" w:cs="仿宋_GB2312"/>
                <w:sz w:val="20"/>
                <w:szCs w:val="20"/>
              </w:rPr>
            </w:pPr>
            <w:r>
              <w:rPr>
                <w:rFonts w:hint="eastAsia" w:ascii="仿宋_GB2312" w:hAnsi="仿宋_GB2312" w:eastAsia="仿宋_GB2312" w:cs="仿宋_GB2312"/>
                <w:spacing w:val="2"/>
                <w:sz w:val="20"/>
                <w:szCs w:val="20"/>
              </w:rPr>
              <w:t>24.</w:t>
            </w:r>
            <w:r>
              <w:rPr>
                <w:rFonts w:hint="eastAsia" w:ascii="仿宋_GB2312" w:hAnsi="仿宋_GB2312" w:eastAsia="仿宋_GB2312" w:cs="仿宋_GB2312"/>
                <w:spacing w:val="1"/>
                <w:sz w:val="20"/>
                <w:szCs w:val="20"/>
              </w:rPr>
              <w:t>26</w:t>
            </w:r>
          </w:p>
        </w:tc>
        <w:tc>
          <w:tcPr>
            <w:tcW w:w="1147" w:type="dxa"/>
            <w:vAlign w:val="top"/>
          </w:tcPr>
          <w:p>
            <w:pPr>
              <w:spacing w:before="182" w:line="229" w:lineRule="auto"/>
              <w:ind w:left="135"/>
              <w:rPr>
                <w:rFonts w:hint="eastAsia" w:ascii="仿宋_GB2312" w:hAnsi="仿宋_GB2312" w:eastAsia="仿宋_GB2312" w:cs="仿宋_GB2312"/>
                <w:sz w:val="20"/>
                <w:szCs w:val="20"/>
              </w:rPr>
            </w:pPr>
            <w:r>
              <w:rPr>
                <w:rFonts w:hint="eastAsia" w:ascii="仿宋_GB2312" w:hAnsi="仿宋_GB2312" w:eastAsia="仿宋_GB2312" w:cs="仿宋_GB2312"/>
                <w:spacing w:val="4"/>
                <w:sz w:val="20"/>
                <w:szCs w:val="20"/>
              </w:rPr>
              <w:t>2</w:t>
            </w:r>
            <w:r>
              <w:rPr>
                <w:rFonts w:hint="eastAsia" w:ascii="仿宋_GB2312" w:hAnsi="仿宋_GB2312" w:eastAsia="仿宋_GB2312" w:cs="仿宋_GB2312"/>
                <w:spacing w:val="3"/>
                <w:sz w:val="20"/>
                <w:szCs w:val="20"/>
              </w:rPr>
              <w:t>022/6/15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1" w:hRule="atLeast"/>
        </w:trPr>
        <w:tc>
          <w:tcPr>
            <w:tcW w:w="2189" w:type="dxa"/>
            <w:vAlign w:val="top"/>
          </w:tcPr>
          <w:p>
            <w:pPr>
              <w:spacing w:before="47" w:line="239" w:lineRule="auto"/>
              <w:ind w:left="199" w:leftChars="95" w:right="214" w:firstLine="0" w:firstLineChars="0"/>
              <w:rPr>
                <w:rFonts w:hint="eastAsia" w:ascii="仿宋_GB2312" w:hAnsi="仿宋_GB2312" w:eastAsia="仿宋_GB2312" w:cs="仿宋_GB2312"/>
                <w:sz w:val="20"/>
                <w:szCs w:val="20"/>
              </w:rPr>
            </w:pPr>
            <w:r>
              <w:rPr>
                <w:rFonts w:hint="eastAsia" w:ascii="仿宋_GB2312" w:hAnsi="仿宋_GB2312" w:eastAsia="仿宋_GB2312" w:cs="仿宋_GB2312"/>
                <w:spacing w:val="9"/>
                <w:sz w:val="20"/>
                <w:szCs w:val="20"/>
              </w:rPr>
              <w:t>武</w:t>
            </w:r>
            <w:r>
              <w:rPr>
                <w:rFonts w:hint="eastAsia" w:ascii="仿宋_GB2312" w:hAnsi="仿宋_GB2312" w:eastAsia="仿宋_GB2312" w:cs="仿宋_GB2312"/>
                <w:spacing w:val="7"/>
                <w:sz w:val="20"/>
                <w:szCs w:val="20"/>
              </w:rPr>
              <w:t>安市产业大道西</w:t>
            </w:r>
            <w:r>
              <w:rPr>
                <w:rFonts w:hint="eastAsia" w:ascii="仿宋_GB2312" w:hAnsi="仿宋_GB2312" w:eastAsia="仿宋_GB2312" w:cs="仿宋_GB2312"/>
                <w:spacing w:val="9"/>
                <w:sz w:val="20"/>
                <w:szCs w:val="20"/>
              </w:rPr>
              <w:t>侧、兴凯街东侧</w:t>
            </w:r>
          </w:p>
        </w:tc>
        <w:tc>
          <w:tcPr>
            <w:tcW w:w="1105" w:type="dxa"/>
            <w:vAlign w:val="top"/>
          </w:tcPr>
          <w:p>
            <w:pPr>
              <w:spacing w:before="209" w:line="192" w:lineRule="auto"/>
              <w:ind w:left="406"/>
              <w:rPr>
                <w:rFonts w:hint="eastAsia" w:ascii="仿宋_GB2312" w:hAnsi="仿宋_GB2312" w:eastAsia="仿宋_GB2312" w:cs="仿宋_GB2312"/>
                <w:sz w:val="20"/>
                <w:szCs w:val="20"/>
              </w:rPr>
            </w:pPr>
            <w:r>
              <w:rPr>
                <w:rFonts w:hint="eastAsia" w:ascii="仿宋_GB2312" w:hAnsi="仿宋_GB2312" w:eastAsia="仿宋_GB2312" w:cs="仿宋_GB2312"/>
                <w:spacing w:val="1"/>
                <w:sz w:val="20"/>
                <w:szCs w:val="20"/>
              </w:rPr>
              <w:t>54.82</w:t>
            </w:r>
          </w:p>
        </w:tc>
        <w:tc>
          <w:tcPr>
            <w:tcW w:w="1172" w:type="dxa"/>
            <w:vAlign w:val="top"/>
          </w:tcPr>
          <w:p>
            <w:pPr>
              <w:spacing w:before="209" w:line="192" w:lineRule="auto"/>
              <w:ind w:left="258"/>
              <w:rPr>
                <w:rFonts w:hint="eastAsia" w:ascii="仿宋_GB2312" w:hAnsi="仿宋_GB2312" w:eastAsia="仿宋_GB2312" w:cs="仿宋_GB2312"/>
                <w:sz w:val="20"/>
                <w:szCs w:val="20"/>
              </w:rPr>
            </w:pPr>
            <w:r>
              <w:rPr>
                <w:rFonts w:hint="eastAsia" w:ascii="仿宋_GB2312" w:hAnsi="仿宋_GB2312" w:eastAsia="仿宋_GB2312" w:cs="仿宋_GB2312"/>
                <w:spacing w:val="2"/>
                <w:sz w:val="20"/>
                <w:szCs w:val="20"/>
              </w:rPr>
              <w:t>1340.00</w:t>
            </w:r>
          </w:p>
        </w:tc>
        <w:tc>
          <w:tcPr>
            <w:tcW w:w="1274" w:type="dxa"/>
            <w:vAlign w:val="top"/>
          </w:tcPr>
          <w:p>
            <w:pPr>
              <w:spacing w:before="182" w:line="227" w:lineRule="auto"/>
              <w:ind w:left="252"/>
              <w:rPr>
                <w:rFonts w:hint="eastAsia" w:ascii="仿宋_GB2312" w:hAnsi="仿宋_GB2312" w:eastAsia="仿宋_GB2312" w:cs="仿宋_GB2312"/>
                <w:sz w:val="20"/>
                <w:szCs w:val="20"/>
              </w:rPr>
            </w:pPr>
            <w:r>
              <w:rPr>
                <w:rFonts w:hint="eastAsia" w:ascii="仿宋_GB2312" w:hAnsi="仿宋_GB2312" w:eastAsia="仿宋_GB2312" w:cs="仿宋_GB2312"/>
                <w:spacing w:val="6"/>
                <w:sz w:val="20"/>
                <w:szCs w:val="20"/>
              </w:rPr>
              <w:t>工业用地</w:t>
            </w:r>
          </w:p>
        </w:tc>
        <w:tc>
          <w:tcPr>
            <w:tcW w:w="1330" w:type="dxa"/>
            <w:vAlign w:val="top"/>
          </w:tcPr>
          <w:p>
            <w:pPr>
              <w:spacing w:before="208" w:line="194" w:lineRule="auto"/>
              <w:ind w:left="443"/>
              <w:rPr>
                <w:rFonts w:hint="eastAsia" w:ascii="仿宋_GB2312" w:hAnsi="仿宋_GB2312" w:eastAsia="仿宋_GB2312" w:cs="仿宋_GB2312"/>
                <w:sz w:val="20"/>
                <w:szCs w:val="20"/>
              </w:rPr>
            </w:pPr>
            <w:r>
              <w:rPr>
                <w:rFonts w:hint="eastAsia" w:ascii="仿宋_GB2312" w:hAnsi="仿宋_GB2312" w:eastAsia="仿宋_GB2312" w:cs="仿宋_GB2312"/>
                <w:spacing w:val="2"/>
                <w:sz w:val="20"/>
                <w:szCs w:val="20"/>
              </w:rPr>
              <w:t>24.</w:t>
            </w:r>
            <w:r>
              <w:rPr>
                <w:rFonts w:hint="eastAsia" w:ascii="仿宋_GB2312" w:hAnsi="仿宋_GB2312" w:eastAsia="仿宋_GB2312" w:cs="仿宋_GB2312"/>
                <w:spacing w:val="1"/>
                <w:sz w:val="20"/>
                <w:szCs w:val="20"/>
              </w:rPr>
              <w:t>44</w:t>
            </w:r>
          </w:p>
        </w:tc>
        <w:tc>
          <w:tcPr>
            <w:tcW w:w="1147" w:type="dxa"/>
            <w:vAlign w:val="top"/>
          </w:tcPr>
          <w:p>
            <w:pPr>
              <w:spacing w:before="182" w:line="229" w:lineRule="auto"/>
              <w:ind w:left="135"/>
              <w:rPr>
                <w:rFonts w:hint="eastAsia" w:ascii="仿宋_GB2312" w:hAnsi="仿宋_GB2312" w:eastAsia="仿宋_GB2312" w:cs="仿宋_GB2312"/>
                <w:sz w:val="20"/>
                <w:szCs w:val="20"/>
              </w:rPr>
            </w:pPr>
            <w:r>
              <w:rPr>
                <w:rFonts w:hint="eastAsia" w:ascii="仿宋_GB2312" w:hAnsi="仿宋_GB2312" w:eastAsia="仿宋_GB2312" w:cs="仿宋_GB2312"/>
                <w:spacing w:val="4"/>
                <w:sz w:val="20"/>
                <w:szCs w:val="20"/>
              </w:rPr>
              <w:t>2</w:t>
            </w:r>
            <w:r>
              <w:rPr>
                <w:rFonts w:hint="eastAsia" w:ascii="仿宋_GB2312" w:hAnsi="仿宋_GB2312" w:eastAsia="仿宋_GB2312" w:cs="仿宋_GB2312"/>
                <w:spacing w:val="3"/>
                <w:sz w:val="20"/>
                <w:szCs w:val="20"/>
              </w:rPr>
              <w:t>022/6/15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trPr>
        <w:tc>
          <w:tcPr>
            <w:tcW w:w="2189" w:type="dxa"/>
            <w:vAlign w:val="top"/>
          </w:tcPr>
          <w:p>
            <w:pPr>
              <w:spacing w:before="184" w:line="226" w:lineRule="auto"/>
              <w:ind w:left="748"/>
              <w:rPr>
                <w:rFonts w:hint="eastAsia" w:ascii="仿宋_GB2312" w:hAnsi="仿宋_GB2312" w:eastAsia="仿宋_GB2312" w:cs="仿宋_GB2312"/>
                <w:sz w:val="20"/>
                <w:szCs w:val="20"/>
              </w:rPr>
            </w:pPr>
            <w:r>
              <w:rPr>
                <w:rFonts w:hint="eastAsia" w:ascii="仿宋_GB2312" w:hAnsi="仿宋_GB2312" w:eastAsia="仿宋_GB2312" w:cs="仿宋_GB2312"/>
                <w:spacing w:val="6"/>
                <w:sz w:val="20"/>
                <w:szCs w:val="20"/>
              </w:rPr>
              <w:t>平均</w:t>
            </w:r>
            <w:r>
              <w:rPr>
                <w:rFonts w:hint="eastAsia" w:ascii="仿宋_GB2312" w:hAnsi="仿宋_GB2312" w:eastAsia="仿宋_GB2312" w:cs="仿宋_GB2312"/>
                <w:spacing w:val="5"/>
                <w:sz w:val="20"/>
                <w:szCs w:val="20"/>
              </w:rPr>
              <w:t>值</w:t>
            </w:r>
          </w:p>
        </w:tc>
        <w:tc>
          <w:tcPr>
            <w:tcW w:w="1105" w:type="dxa"/>
            <w:vAlign w:val="top"/>
          </w:tcPr>
          <w:p>
            <w:pPr>
              <w:spacing w:before="211" w:line="192" w:lineRule="auto"/>
              <w:ind w:left="353"/>
              <w:rPr>
                <w:rFonts w:hint="eastAsia" w:ascii="仿宋_GB2312" w:hAnsi="仿宋_GB2312" w:eastAsia="仿宋_GB2312" w:cs="仿宋_GB2312"/>
                <w:sz w:val="20"/>
                <w:szCs w:val="20"/>
              </w:rPr>
            </w:pPr>
            <w:r>
              <w:rPr>
                <w:rFonts w:hint="eastAsia" w:ascii="仿宋_GB2312" w:hAnsi="仿宋_GB2312" w:eastAsia="仿宋_GB2312" w:cs="仿宋_GB2312"/>
                <w:spacing w:val="2"/>
                <w:sz w:val="20"/>
                <w:szCs w:val="20"/>
              </w:rPr>
              <w:t>507.4</w:t>
            </w:r>
            <w:r>
              <w:rPr>
                <w:rFonts w:hint="eastAsia" w:ascii="仿宋_GB2312" w:hAnsi="仿宋_GB2312" w:eastAsia="仿宋_GB2312" w:cs="仿宋_GB2312"/>
                <w:spacing w:val="1"/>
                <w:sz w:val="20"/>
                <w:szCs w:val="20"/>
              </w:rPr>
              <w:t>1</w:t>
            </w:r>
          </w:p>
        </w:tc>
        <w:tc>
          <w:tcPr>
            <w:tcW w:w="1172" w:type="dxa"/>
            <w:vAlign w:val="top"/>
          </w:tcPr>
          <w:p>
            <w:pPr>
              <w:spacing w:before="211" w:line="192" w:lineRule="auto"/>
              <w:ind w:left="207"/>
              <w:rPr>
                <w:rFonts w:hint="eastAsia" w:ascii="仿宋_GB2312" w:hAnsi="仿宋_GB2312" w:eastAsia="仿宋_GB2312" w:cs="仿宋_GB2312"/>
                <w:sz w:val="20"/>
                <w:szCs w:val="20"/>
              </w:rPr>
            </w:pPr>
            <w:r>
              <w:rPr>
                <w:rFonts w:hint="eastAsia" w:ascii="仿宋_GB2312" w:hAnsi="仿宋_GB2312" w:eastAsia="仿宋_GB2312" w:cs="仿宋_GB2312"/>
                <w:spacing w:val="3"/>
                <w:sz w:val="20"/>
                <w:szCs w:val="20"/>
              </w:rPr>
              <w:t>1</w:t>
            </w:r>
            <w:r>
              <w:rPr>
                <w:rFonts w:hint="eastAsia" w:ascii="仿宋_GB2312" w:hAnsi="仿宋_GB2312" w:eastAsia="仿宋_GB2312" w:cs="仿宋_GB2312"/>
                <w:spacing w:val="2"/>
                <w:sz w:val="20"/>
                <w:szCs w:val="20"/>
              </w:rPr>
              <w:t>2330.00</w:t>
            </w:r>
          </w:p>
        </w:tc>
        <w:tc>
          <w:tcPr>
            <w:tcW w:w="1274" w:type="dxa"/>
            <w:vAlign w:val="top"/>
          </w:tcPr>
          <w:p>
            <w:pPr>
              <w:rPr>
                <w:rFonts w:hint="eastAsia" w:ascii="仿宋_GB2312" w:hAnsi="仿宋_GB2312" w:eastAsia="仿宋_GB2312" w:cs="仿宋_GB2312"/>
                <w:sz w:val="21"/>
                <w:szCs w:val="22"/>
              </w:rPr>
            </w:pPr>
          </w:p>
        </w:tc>
        <w:tc>
          <w:tcPr>
            <w:tcW w:w="1330" w:type="dxa"/>
            <w:vAlign w:val="top"/>
          </w:tcPr>
          <w:p>
            <w:pPr>
              <w:spacing w:before="211" w:line="194" w:lineRule="auto"/>
              <w:ind w:left="443"/>
              <w:rPr>
                <w:rFonts w:hint="eastAsia" w:ascii="仿宋_GB2312" w:hAnsi="仿宋_GB2312" w:eastAsia="仿宋_GB2312" w:cs="仿宋_GB2312"/>
                <w:sz w:val="20"/>
                <w:szCs w:val="20"/>
              </w:rPr>
            </w:pPr>
            <w:r>
              <w:rPr>
                <w:rFonts w:hint="eastAsia" w:ascii="仿宋_GB2312" w:hAnsi="仿宋_GB2312" w:eastAsia="仿宋_GB2312" w:cs="仿宋_GB2312"/>
                <w:spacing w:val="2"/>
                <w:sz w:val="20"/>
                <w:szCs w:val="20"/>
              </w:rPr>
              <w:t>24.</w:t>
            </w:r>
            <w:r>
              <w:rPr>
                <w:rFonts w:hint="eastAsia" w:ascii="仿宋_GB2312" w:hAnsi="仿宋_GB2312" w:eastAsia="仿宋_GB2312" w:cs="仿宋_GB2312"/>
                <w:spacing w:val="1"/>
                <w:sz w:val="20"/>
                <w:szCs w:val="20"/>
              </w:rPr>
              <w:t>30</w:t>
            </w:r>
          </w:p>
        </w:tc>
        <w:tc>
          <w:tcPr>
            <w:tcW w:w="1147" w:type="dxa"/>
            <w:vAlign w:val="top"/>
          </w:tcPr>
          <w:p>
            <w:pPr>
              <w:rPr>
                <w:rFonts w:hint="eastAsia" w:ascii="仿宋_GB2312" w:hAnsi="仿宋_GB2312" w:eastAsia="仿宋_GB2312" w:cs="仿宋_GB2312"/>
                <w:sz w:val="21"/>
                <w:szCs w:val="22"/>
              </w:rPr>
            </w:pPr>
          </w:p>
        </w:tc>
      </w:tr>
    </w:tbl>
    <w:p>
      <w:pPr>
        <w:ind w:firstLine="560" w:firstLineChars="200"/>
        <w:jc w:val="both"/>
        <w:outlineLvl w:val="1"/>
        <w:rPr>
          <w:rFonts w:hint="eastAsia" w:ascii="仿宋_GB2312" w:hAnsi="仿宋_GB2312" w:eastAsia="仿宋_GB2312" w:cs="仿宋_GB2312"/>
          <w:b w:val="0"/>
          <w:bCs w:val="0"/>
          <w:iCs/>
          <w:sz w:val="28"/>
          <w:szCs w:val="28"/>
          <w:highlight w:val="none"/>
        </w:rPr>
      </w:pPr>
      <w:r>
        <w:rPr>
          <w:rFonts w:hint="eastAsia" w:ascii="仿宋_GB2312" w:hAnsi="仿宋_GB2312" w:eastAsia="仿宋_GB2312" w:cs="仿宋_GB2312"/>
          <w:b w:val="0"/>
          <w:bCs w:val="0"/>
          <w:iCs/>
          <w:sz w:val="28"/>
          <w:szCs w:val="28"/>
          <w:highlight w:val="none"/>
        </w:rPr>
        <w:t>根据上述近期土地市场情况及项目出让区域周边土地价格，结 合土地价格增长率为近两年武安市 GDP 平均增速 ( 5.3%) ，现预测 项目出让区域土地价格单价为 28.37 万元/亩。</w:t>
      </w:r>
    </w:p>
    <w:p>
      <w:pPr>
        <w:ind w:firstLine="560" w:firstLineChars="200"/>
        <w:jc w:val="both"/>
        <w:outlineLvl w:val="1"/>
        <w:rPr>
          <w:rFonts w:hint="eastAsia" w:ascii="仿宋_GB2312" w:hAnsi="仿宋_GB2312" w:eastAsia="仿宋_GB2312" w:cs="仿宋_GB2312"/>
          <w:b w:val="0"/>
          <w:bCs w:val="0"/>
          <w:iCs/>
          <w:sz w:val="28"/>
          <w:szCs w:val="28"/>
          <w:highlight w:val="none"/>
        </w:rPr>
      </w:pPr>
      <w:r>
        <w:rPr>
          <w:rFonts w:hint="eastAsia" w:ascii="仿宋_GB2312" w:hAnsi="仿宋_GB2312" w:eastAsia="仿宋_GB2312" w:cs="仿宋_GB2312"/>
          <w:b w:val="0"/>
          <w:bCs w:val="0"/>
          <w:iCs/>
          <w:sz w:val="28"/>
          <w:szCs w:val="28"/>
          <w:highlight w:val="none"/>
        </w:rPr>
        <w:t>2</w:t>
      </w:r>
      <w:r>
        <w:rPr>
          <w:rFonts w:hint="eastAsia" w:ascii="仿宋_GB2312" w:hAnsi="仿宋_GB2312" w:eastAsia="仿宋_GB2312" w:cs="仿宋_GB2312"/>
          <w:b w:val="0"/>
          <w:bCs w:val="0"/>
          <w:iCs/>
          <w:sz w:val="28"/>
          <w:szCs w:val="28"/>
          <w:highlight w:val="none"/>
          <w:lang w:eastAsia="zh-CN"/>
        </w:rPr>
        <w:t>）</w:t>
      </w:r>
      <w:r>
        <w:rPr>
          <w:rFonts w:hint="eastAsia" w:ascii="仿宋_GB2312" w:hAnsi="仿宋_GB2312" w:eastAsia="仿宋_GB2312" w:cs="仿宋_GB2312"/>
          <w:b w:val="0"/>
          <w:bCs w:val="0"/>
          <w:iCs/>
          <w:sz w:val="28"/>
          <w:szCs w:val="28"/>
          <w:highlight w:val="none"/>
        </w:rPr>
        <w:t>城市配套费收入：项目建成后服务区域面积 2439 亩，根据 《河北省主要项目建设用地控制指标 ( 2012 版 ) 》，容积率按 1.0 考虑，根据邯财综[2017]7 号文件，武安市基础设施配套费非住宅 90 元/m，基础设施配套费为 14634.70 万元。</w:t>
      </w:r>
    </w:p>
    <w:p>
      <w:pPr>
        <w:jc w:val="center"/>
        <w:outlineLvl w:val="1"/>
        <w:rPr>
          <w:rFonts w:hint="eastAsia" w:ascii="仿宋_GB2312" w:hAnsi="仿宋_GB2312" w:eastAsia="仿宋_GB2312" w:cs="仿宋_GB2312"/>
          <w:b w:val="0"/>
          <w:bCs w:val="0"/>
          <w:iCs/>
          <w:sz w:val="28"/>
          <w:szCs w:val="28"/>
          <w:highlight w:val="none"/>
        </w:rPr>
      </w:pPr>
      <w:r>
        <w:rPr>
          <w:rFonts w:hint="eastAsia" w:ascii="仿宋_GB2312" w:hAnsi="仿宋_GB2312" w:eastAsia="仿宋_GB2312" w:cs="仿宋_GB2312"/>
          <w:b w:val="0"/>
          <w:bCs w:val="0"/>
          <w:iCs/>
          <w:sz w:val="28"/>
          <w:szCs w:val="28"/>
          <w:highlight w:val="none"/>
        </w:rPr>
        <w:t>项目运营收入表</w:t>
      </w:r>
    </w:p>
    <w:p>
      <w:pPr>
        <w:ind w:firstLine="6960" w:firstLineChars="2900"/>
        <w:rPr>
          <w:rFonts w:hint="eastAsia" w:ascii="仿宋_GB2312" w:hAnsi="仿宋_GB2312" w:eastAsia="仿宋_GB2312" w:cs="仿宋_GB2312"/>
          <w:b w:val="0"/>
          <w:bCs w:val="0"/>
          <w:iCs/>
          <w:sz w:val="24"/>
          <w:szCs w:val="24"/>
          <w:highlight w:val="none"/>
        </w:rPr>
      </w:pPr>
      <w:r>
        <w:rPr>
          <w:rFonts w:hint="eastAsia" w:ascii="仿宋_GB2312" w:hAnsi="仿宋_GB2312" w:eastAsia="仿宋_GB2312" w:cs="仿宋_GB2312"/>
          <w:b w:val="0"/>
          <w:bCs w:val="0"/>
          <w:iCs/>
          <w:sz w:val="24"/>
          <w:szCs w:val="24"/>
          <w:highlight w:val="none"/>
        </w:rPr>
        <w:t>单位：万元</w:t>
      </w:r>
    </w:p>
    <w:tbl>
      <w:tblPr>
        <w:tblStyle w:val="21"/>
        <w:tblW w:w="813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23"/>
        <w:gridCol w:w="1968"/>
        <w:gridCol w:w="2302"/>
        <w:gridCol w:w="20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3" w:hRule="atLeast"/>
        </w:trPr>
        <w:tc>
          <w:tcPr>
            <w:tcW w:w="1823"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w:t>
            </w:r>
          </w:p>
        </w:tc>
        <w:tc>
          <w:tcPr>
            <w:tcW w:w="196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土地出让收入</w:t>
            </w:r>
          </w:p>
        </w:tc>
        <w:tc>
          <w:tcPr>
            <w:tcW w:w="230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城市配套费收入</w:t>
            </w:r>
          </w:p>
        </w:tc>
        <w:tc>
          <w:tcPr>
            <w:tcW w:w="204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合计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82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2024年</w:t>
            </w:r>
          </w:p>
        </w:tc>
        <w:tc>
          <w:tcPr>
            <w:tcW w:w="1968"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230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6098</w:t>
            </w:r>
          </w:p>
        </w:tc>
        <w:tc>
          <w:tcPr>
            <w:tcW w:w="204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6098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82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2025年</w:t>
            </w:r>
          </w:p>
        </w:tc>
        <w:tc>
          <w:tcPr>
            <w:tcW w:w="196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36110.72</w:t>
            </w:r>
          </w:p>
        </w:tc>
        <w:tc>
          <w:tcPr>
            <w:tcW w:w="230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14634.7</w:t>
            </w:r>
          </w:p>
        </w:tc>
        <w:tc>
          <w:tcPr>
            <w:tcW w:w="204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50745.42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82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2026年</w:t>
            </w:r>
          </w:p>
        </w:tc>
        <w:tc>
          <w:tcPr>
            <w:tcW w:w="1968"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230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14634.7</w:t>
            </w:r>
          </w:p>
        </w:tc>
        <w:tc>
          <w:tcPr>
            <w:tcW w:w="204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14634.7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82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2027年</w:t>
            </w:r>
          </w:p>
        </w:tc>
        <w:tc>
          <w:tcPr>
            <w:tcW w:w="1968"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230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14634.7</w:t>
            </w:r>
          </w:p>
        </w:tc>
        <w:tc>
          <w:tcPr>
            <w:tcW w:w="204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14634.7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82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2028年</w:t>
            </w:r>
          </w:p>
        </w:tc>
        <w:tc>
          <w:tcPr>
            <w:tcW w:w="1968"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230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14634.7</w:t>
            </w:r>
          </w:p>
        </w:tc>
        <w:tc>
          <w:tcPr>
            <w:tcW w:w="204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14634.7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82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2029年</w:t>
            </w:r>
          </w:p>
        </w:tc>
        <w:tc>
          <w:tcPr>
            <w:tcW w:w="1968"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230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14634.7</w:t>
            </w:r>
          </w:p>
        </w:tc>
        <w:tc>
          <w:tcPr>
            <w:tcW w:w="204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14634.7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82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2030年</w:t>
            </w:r>
          </w:p>
        </w:tc>
        <w:tc>
          <w:tcPr>
            <w:tcW w:w="1968"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230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14634.7</w:t>
            </w:r>
          </w:p>
        </w:tc>
        <w:tc>
          <w:tcPr>
            <w:tcW w:w="204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14634.7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82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2031年</w:t>
            </w:r>
          </w:p>
        </w:tc>
        <w:tc>
          <w:tcPr>
            <w:tcW w:w="1968"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230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14634.7</w:t>
            </w:r>
          </w:p>
        </w:tc>
        <w:tc>
          <w:tcPr>
            <w:tcW w:w="204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14634.7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82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2032年</w:t>
            </w:r>
          </w:p>
        </w:tc>
        <w:tc>
          <w:tcPr>
            <w:tcW w:w="1968"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230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14634.7</w:t>
            </w:r>
          </w:p>
        </w:tc>
        <w:tc>
          <w:tcPr>
            <w:tcW w:w="204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14634.7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82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2033年</w:t>
            </w:r>
          </w:p>
        </w:tc>
        <w:tc>
          <w:tcPr>
            <w:tcW w:w="1968"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230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14634.7</w:t>
            </w:r>
          </w:p>
        </w:tc>
        <w:tc>
          <w:tcPr>
            <w:tcW w:w="204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14634.7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6" w:hRule="atLeast"/>
        </w:trPr>
        <w:tc>
          <w:tcPr>
            <w:tcW w:w="182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合计</w:t>
            </w:r>
          </w:p>
        </w:tc>
        <w:tc>
          <w:tcPr>
            <w:tcW w:w="196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36110.72</w:t>
            </w:r>
          </w:p>
        </w:tc>
        <w:tc>
          <w:tcPr>
            <w:tcW w:w="230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137810.3</w:t>
            </w:r>
          </w:p>
        </w:tc>
        <w:tc>
          <w:tcPr>
            <w:tcW w:w="204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173921.02</w:t>
            </w:r>
          </w:p>
        </w:tc>
      </w:tr>
    </w:tbl>
    <w:p>
      <w:pPr>
        <w:ind w:firstLine="6960" w:firstLineChars="2900"/>
        <w:rPr>
          <w:rFonts w:hint="eastAsia" w:ascii="仿宋_GB2312" w:hAnsi="仿宋_GB2312" w:eastAsia="仿宋_GB2312" w:cs="仿宋_GB2312"/>
          <w:b w:val="0"/>
          <w:bCs w:val="0"/>
          <w:iCs/>
          <w:sz w:val="24"/>
          <w:szCs w:val="24"/>
          <w:highlight w:val="none"/>
        </w:rPr>
      </w:pPr>
    </w:p>
    <w:p>
      <w:pPr>
        <w:keepNext w:val="0"/>
        <w:keepLines w:val="0"/>
        <w:pageBreakBefore w:val="0"/>
        <w:widowControl w:val="0"/>
        <w:kinsoku/>
        <w:wordWrap/>
        <w:overflowPunct/>
        <w:topLinePunct w:val="0"/>
        <w:bidi w:val="0"/>
        <w:snapToGrid/>
        <w:ind w:firstLine="560" w:firstLineChars="200"/>
        <w:textAlignment w:val="auto"/>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2.项目运营成本</w:t>
      </w:r>
    </w:p>
    <w:p>
      <w:pPr>
        <w:pStyle w:val="16"/>
        <w:ind w:left="0" w:leftChars="0" w:firstLine="560" w:firstLineChars="200"/>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本项目的成本主要包维修养护费和工资及福利费。</w:t>
      </w:r>
    </w:p>
    <w:p>
      <w:pPr>
        <w:pStyle w:val="16"/>
        <w:ind w:left="0" w:leftChars="0" w:firstLine="560" w:firstLineChars="200"/>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维修养护费：包括日常维修、养护、大修、易损设备的更新 费用等，按工程费用的1%考虑，则年维修养护费为161.7万元。</w:t>
      </w:r>
    </w:p>
    <w:p>
      <w:pPr>
        <w:pStyle w:val="16"/>
        <w:ind w:left="0" w:leftChars="0" w:firstLine="560" w:firstLineChars="200"/>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工资及福利费：项目建成后,涉及本项目区运行管理人员按20人考虑，年人均工资按5.4万元计，职工福利按工资总额的14%计，则年工资及福利费总计123.12万元。</w:t>
      </w:r>
    </w:p>
    <w:p>
      <w:pPr>
        <w:pStyle w:val="29"/>
        <w:keepNext w:val="0"/>
        <w:keepLines w:val="0"/>
        <w:pageBreakBefore w:val="0"/>
        <w:widowControl w:val="0"/>
        <w:kinsoku/>
        <w:wordWrap/>
        <w:overflowPunct/>
        <w:topLinePunct w:val="0"/>
        <w:bidi w:val="0"/>
        <w:snapToGrid/>
        <w:ind w:firstLine="560" w:firstLineChars="200"/>
        <w:textAlignment w:val="auto"/>
        <w:rPr>
          <w:rFonts w:hint="eastAsia" w:ascii="仿宋_GB2312" w:hAnsi="黑体" w:eastAsia="仿宋_GB2312" w:cs="宋体"/>
          <w:color w:val="auto"/>
          <w:sz w:val="28"/>
          <w:szCs w:val="28"/>
          <w:highlight w:val="blue"/>
          <w:lang w:val="en-US" w:eastAsia="zh-CN"/>
        </w:rPr>
      </w:pPr>
      <w:r>
        <w:rPr>
          <w:rFonts w:hint="eastAsia" w:ascii="仿宋_GB2312" w:hAnsi="黑体" w:eastAsia="仿宋_GB2312" w:cs="宋体"/>
          <w:color w:val="auto"/>
          <w:sz w:val="28"/>
          <w:szCs w:val="28"/>
          <w:highlight w:val="none"/>
          <w:lang w:val="en-US" w:eastAsia="zh-CN"/>
        </w:rPr>
        <w:t>注：</w:t>
      </w:r>
      <w:r>
        <w:rPr>
          <w:rFonts w:hint="default" w:ascii="仿宋_GB2312" w:hAnsi="黑体" w:eastAsia="仿宋_GB2312" w:cs="宋体"/>
          <w:color w:val="auto"/>
          <w:sz w:val="28"/>
          <w:szCs w:val="28"/>
          <w:highlight w:val="none"/>
          <w:lang w:val="en-US" w:eastAsia="zh-CN"/>
        </w:rPr>
        <w:t>运营期利息作为财务费用，不属于运营成本，建设期利息计入固定资产</w:t>
      </w:r>
      <w:r>
        <w:rPr>
          <w:rFonts w:hint="eastAsia" w:ascii="仿宋_GB2312" w:hAnsi="黑体" w:eastAsia="仿宋_GB2312" w:cs="宋体"/>
          <w:color w:val="auto"/>
          <w:sz w:val="28"/>
          <w:szCs w:val="28"/>
          <w:highlight w:val="none"/>
          <w:lang w:val="en-US" w:eastAsia="zh-CN"/>
        </w:rPr>
        <w:t>。</w:t>
      </w:r>
    </w:p>
    <w:p>
      <w:pPr>
        <w:pStyle w:val="16"/>
        <w:jc w:val="center"/>
        <w:outlineLvl w:val="1"/>
        <w:rPr>
          <w:rFonts w:hint="eastAsia" w:ascii="仿宋_GB2312" w:hAnsi="仿宋_GB2312" w:eastAsia="仿宋_GB2312" w:cs="仿宋_GB2312"/>
          <w:b w:val="0"/>
          <w:bCs/>
          <w:sz w:val="28"/>
          <w:szCs w:val="28"/>
          <w:highlight w:val="none"/>
        </w:rPr>
      </w:pPr>
      <w:r>
        <w:rPr>
          <w:rFonts w:hint="eastAsia" w:ascii="仿宋_GB2312" w:hAnsi="仿宋_GB2312" w:eastAsia="仿宋_GB2312" w:cs="仿宋_GB2312"/>
          <w:b w:val="0"/>
          <w:bCs/>
          <w:sz w:val="28"/>
          <w:szCs w:val="28"/>
          <w:highlight w:val="none"/>
        </w:rPr>
        <w:t>项目运营成本表</w:t>
      </w:r>
    </w:p>
    <w:p>
      <w:pPr>
        <w:ind w:firstLine="600"/>
        <w:jc w:val="right"/>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单位：万元</w:t>
      </w:r>
    </w:p>
    <w:tbl>
      <w:tblPr>
        <w:tblStyle w:val="21"/>
        <w:tblW w:w="83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64"/>
        <w:gridCol w:w="1664"/>
        <w:gridCol w:w="1664"/>
        <w:gridCol w:w="1664"/>
        <w:gridCol w:w="16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66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项目</w:t>
            </w:r>
          </w:p>
        </w:tc>
        <w:tc>
          <w:tcPr>
            <w:tcW w:w="166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土地出让成本</w:t>
            </w:r>
          </w:p>
        </w:tc>
        <w:tc>
          <w:tcPr>
            <w:tcW w:w="166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维修养护费</w:t>
            </w:r>
          </w:p>
        </w:tc>
        <w:tc>
          <w:tcPr>
            <w:tcW w:w="166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工资及福利</w:t>
            </w:r>
          </w:p>
        </w:tc>
        <w:tc>
          <w:tcPr>
            <w:tcW w:w="166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合计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66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2024年</w:t>
            </w:r>
          </w:p>
        </w:tc>
        <w:tc>
          <w:tcPr>
            <w:tcW w:w="1664"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1"/>
                <w:szCs w:val="21"/>
                <w:u w:val="none"/>
              </w:rPr>
            </w:pP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67</w:t>
            </w: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51</w:t>
            </w: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66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2025年</w:t>
            </w: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11735.39</w:t>
            </w: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161.7</w:t>
            </w: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123.12</w:t>
            </w: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12020.21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66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2026年</w:t>
            </w:r>
          </w:p>
        </w:tc>
        <w:tc>
          <w:tcPr>
            <w:tcW w:w="1664"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1"/>
                <w:szCs w:val="21"/>
                <w:u w:val="none"/>
              </w:rPr>
            </w:pP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161.7</w:t>
            </w: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123.12</w:t>
            </w: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284.82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66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2027年</w:t>
            </w:r>
          </w:p>
        </w:tc>
        <w:tc>
          <w:tcPr>
            <w:tcW w:w="1664"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1"/>
                <w:szCs w:val="21"/>
                <w:u w:val="none"/>
              </w:rPr>
            </w:pP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161.7</w:t>
            </w: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123.12</w:t>
            </w: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284.82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66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2028年</w:t>
            </w:r>
          </w:p>
        </w:tc>
        <w:tc>
          <w:tcPr>
            <w:tcW w:w="1664"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1"/>
                <w:szCs w:val="21"/>
                <w:u w:val="none"/>
              </w:rPr>
            </w:pP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161.7</w:t>
            </w: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123.12</w:t>
            </w: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284.82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66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2029年</w:t>
            </w:r>
          </w:p>
        </w:tc>
        <w:tc>
          <w:tcPr>
            <w:tcW w:w="1664"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1"/>
                <w:szCs w:val="21"/>
                <w:u w:val="none"/>
              </w:rPr>
            </w:pP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161.7</w:t>
            </w: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123.12</w:t>
            </w: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284.82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66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2030年</w:t>
            </w:r>
          </w:p>
        </w:tc>
        <w:tc>
          <w:tcPr>
            <w:tcW w:w="1664"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1"/>
                <w:szCs w:val="21"/>
                <w:u w:val="none"/>
              </w:rPr>
            </w:pP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161.7</w:t>
            </w: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123.12</w:t>
            </w: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284.82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66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2031年</w:t>
            </w:r>
          </w:p>
        </w:tc>
        <w:tc>
          <w:tcPr>
            <w:tcW w:w="1664"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1"/>
                <w:szCs w:val="21"/>
                <w:u w:val="none"/>
              </w:rPr>
            </w:pP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161.7</w:t>
            </w: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123.12</w:t>
            </w: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284.82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66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2032年</w:t>
            </w:r>
          </w:p>
        </w:tc>
        <w:tc>
          <w:tcPr>
            <w:tcW w:w="1664"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1"/>
                <w:szCs w:val="21"/>
                <w:u w:val="none"/>
              </w:rPr>
            </w:pP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161.7</w:t>
            </w: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123.12</w:t>
            </w: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284.82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66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2033年</w:t>
            </w:r>
          </w:p>
        </w:tc>
        <w:tc>
          <w:tcPr>
            <w:tcW w:w="1664"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1"/>
                <w:szCs w:val="21"/>
                <w:u w:val="none"/>
              </w:rPr>
            </w:pP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161.7</w:t>
            </w: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123.12</w:t>
            </w: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284.82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166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合计</w:t>
            </w:r>
          </w:p>
        </w:tc>
        <w:tc>
          <w:tcPr>
            <w:tcW w:w="1664" w:type="dxa"/>
            <w:tcBorders>
              <w:top w:val="nil"/>
              <w:left w:val="nil"/>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21"/>
                <w:szCs w:val="21"/>
                <w:u w:val="none"/>
              </w:rPr>
            </w:pP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1522.3</w:t>
            </w: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1159.08</w:t>
            </w:r>
          </w:p>
        </w:tc>
        <w:tc>
          <w:tcPr>
            <w:tcW w:w="16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14416.77</w:t>
            </w:r>
          </w:p>
        </w:tc>
      </w:tr>
    </w:tbl>
    <w:p>
      <w:pPr>
        <w:ind w:firstLine="600"/>
        <w:jc w:val="right"/>
        <w:rPr>
          <w:rFonts w:hint="eastAsia" w:ascii="仿宋_GB2312" w:hAnsi="仿宋_GB2312" w:eastAsia="仿宋_GB2312" w:cs="仿宋_GB2312"/>
          <w:bCs/>
          <w:sz w:val="24"/>
          <w:szCs w:val="24"/>
        </w:rPr>
      </w:pPr>
    </w:p>
    <w:p>
      <w:pPr>
        <w:ind w:firstLine="6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3、项目运营收益</w:t>
      </w:r>
    </w:p>
    <w:p>
      <w:pPr>
        <w:jc w:val="center"/>
        <w:outlineLvl w:val="1"/>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项目运营收益表</w:t>
      </w:r>
    </w:p>
    <w:p>
      <w:pPr>
        <w:ind w:firstLine="6000" w:firstLineChars="2500"/>
        <w:jc w:val="righ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单位：万元</w:t>
      </w:r>
    </w:p>
    <w:tbl>
      <w:tblPr>
        <w:tblStyle w:val="21"/>
        <w:tblW w:w="827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49"/>
        <w:gridCol w:w="1987"/>
        <w:gridCol w:w="1849"/>
        <w:gridCol w:w="25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84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项目</w:t>
            </w:r>
          </w:p>
        </w:tc>
        <w:tc>
          <w:tcPr>
            <w:tcW w:w="1987"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运营收入</w:t>
            </w:r>
          </w:p>
        </w:tc>
        <w:tc>
          <w:tcPr>
            <w:tcW w:w="1849"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运营成本</w:t>
            </w:r>
          </w:p>
        </w:tc>
        <w:tc>
          <w:tcPr>
            <w:tcW w:w="2593"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运营收益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849"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2024年</w:t>
            </w:r>
          </w:p>
        </w:tc>
        <w:tc>
          <w:tcPr>
            <w:tcW w:w="1987"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6098</w:t>
            </w:r>
          </w:p>
        </w:tc>
        <w:tc>
          <w:tcPr>
            <w:tcW w:w="1849"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118</w:t>
            </w:r>
          </w:p>
        </w:tc>
        <w:tc>
          <w:tcPr>
            <w:tcW w:w="2593"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5980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849"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2025年</w:t>
            </w:r>
          </w:p>
        </w:tc>
        <w:tc>
          <w:tcPr>
            <w:tcW w:w="1987"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50745.42</w:t>
            </w:r>
          </w:p>
        </w:tc>
        <w:tc>
          <w:tcPr>
            <w:tcW w:w="1849"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12020.21</w:t>
            </w:r>
          </w:p>
        </w:tc>
        <w:tc>
          <w:tcPr>
            <w:tcW w:w="2593"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38725.21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849"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2026年</w:t>
            </w:r>
          </w:p>
        </w:tc>
        <w:tc>
          <w:tcPr>
            <w:tcW w:w="1987"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14634.7</w:t>
            </w:r>
          </w:p>
        </w:tc>
        <w:tc>
          <w:tcPr>
            <w:tcW w:w="1849"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284.82</w:t>
            </w:r>
          </w:p>
        </w:tc>
        <w:tc>
          <w:tcPr>
            <w:tcW w:w="2593"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14349.88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849"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2027年</w:t>
            </w:r>
          </w:p>
        </w:tc>
        <w:tc>
          <w:tcPr>
            <w:tcW w:w="1987"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14634.7</w:t>
            </w:r>
          </w:p>
        </w:tc>
        <w:tc>
          <w:tcPr>
            <w:tcW w:w="1849"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284.82</w:t>
            </w:r>
          </w:p>
        </w:tc>
        <w:tc>
          <w:tcPr>
            <w:tcW w:w="2593"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14349.88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849"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2028年</w:t>
            </w:r>
          </w:p>
        </w:tc>
        <w:tc>
          <w:tcPr>
            <w:tcW w:w="1987"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14634.7</w:t>
            </w:r>
          </w:p>
        </w:tc>
        <w:tc>
          <w:tcPr>
            <w:tcW w:w="1849"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284.82</w:t>
            </w:r>
          </w:p>
        </w:tc>
        <w:tc>
          <w:tcPr>
            <w:tcW w:w="2593"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14349.88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849"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2029年</w:t>
            </w:r>
          </w:p>
        </w:tc>
        <w:tc>
          <w:tcPr>
            <w:tcW w:w="1987"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14634.7</w:t>
            </w:r>
          </w:p>
        </w:tc>
        <w:tc>
          <w:tcPr>
            <w:tcW w:w="1849"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284.82</w:t>
            </w:r>
          </w:p>
        </w:tc>
        <w:tc>
          <w:tcPr>
            <w:tcW w:w="2593"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14349.88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849"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2030年</w:t>
            </w:r>
          </w:p>
        </w:tc>
        <w:tc>
          <w:tcPr>
            <w:tcW w:w="1987"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14634.7</w:t>
            </w:r>
          </w:p>
        </w:tc>
        <w:tc>
          <w:tcPr>
            <w:tcW w:w="1849"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284.82</w:t>
            </w:r>
          </w:p>
        </w:tc>
        <w:tc>
          <w:tcPr>
            <w:tcW w:w="2593"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14349.88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849"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2031年</w:t>
            </w:r>
          </w:p>
        </w:tc>
        <w:tc>
          <w:tcPr>
            <w:tcW w:w="1987"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14634.7</w:t>
            </w:r>
          </w:p>
        </w:tc>
        <w:tc>
          <w:tcPr>
            <w:tcW w:w="1849"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284.82</w:t>
            </w:r>
          </w:p>
        </w:tc>
        <w:tc>
          <w:tcPr>
            <w:tcW w:w="2593"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14349.88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849"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2032年</w:t>
            </w:r>
          </w:p>
        </w:tc>
        <w:tc>
          <w:tcPr>
            <w:tcW w:w="1987"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14634.7</w:t>
            </w:r>
          </w:p>
        </w:tc>
        <w:tc>
          <w:tcPr>
            <w:tcW w:w="1849"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284.82</w:t>
            </w:r>
          </w:p>
        </w:tc>
        <w:tc>
          <w:tcPr>
            <w:tcW w:w="2593"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14349.88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849"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2033年</w:t>
            </w:r>
          </w:p>
        </w:tc>
        <w:tc>
          <w:tcPr>
            <w:tcW w:w="1987"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14634.7</w:t>
            </w:r>
          </w:p>
        </w:tc>
        <w:tc>
          <w:tcPr>
            <w:tcW w:w="1849"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284.82</w:t>
            </w:r>
          </w:p>
        </w:tc>
        <w:tc>
          <w:tcPr>
            <w:tcW w:w="2593"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14349.88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8" w:hRule="atLeast"/>
        </w:trPr>
        <w:tc>
          <w:tcPr>
            <w:tcW w:w="1849"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合 计</w:t>
            </w:r>
          </w:p>
        </w:tc>
        <w:tc>
          <w:tcPr>
            <w:tcW w:w="1987"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173921.02</w:t>
            </w:r>
          </w:p>
        </w:tc>
        <w:tc>
          <w:tcPr>
            <w:tcW w:w="1849"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14416.77</w:t>
            </w:r>
          </w:p>
        </w:tc>
        <w:tc>
          <w:tcPr>
            <w:tcW w:w="2593"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159504.25</w:t>
            </w:r>
          </w:p>
        </w:tc>
      </w:tr>
    </w:tbl>
    <w:p>
      <w:pPr>
        <w:ind w:firstLine="6000" w:firstLineChars="2500"/>
        <w:jc w:val="right"/>
        <w:rPr>
          <w:rFonts w:hint="eastAsia" w:ascii="仿宋_GB2312" w:hAnsi="仿宋_GB2312" w:eastAsia="仿宋_GB2312" w:cs="仿宋_GB2312"/>
          <w:sz w:val="24"/>
          <w:szCs w:val="24"/>
          <w:highlight w:val="none"/>
        </w:rPr>
      </w:pPr>
    </w:p>
    <w:p>
      <w:pPr>
        <w:numPr>
          <w:ilvl w:val="0"/>
          <w:numId w:val="5"/>
        </w:numPr>
        <w:spacing w:line="360" w:lineRule="auto"/>
        <w:ind w:firstLine="560" w:firstLineChars="200"/>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本项目</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收入上交财政暂不预估相关税费。</w:t>
      </w:r>
    </w:p>
    <w:p>
      <w:pPr>
        <w:numPr>
          <w:ilvl w:val="0"/>
          <w:numId w:val="5"/>
        </w:numPr>
        <w:spacing w:line="360" w:lineRule="auto"/>
        <w:ind w:firstLine="560" w:firstLineChars="200"/>
        <w:rPr>
          <w:rFonts w:hint="eastAsia" w:ascii="仿宋_GB2312" w:hAnsi="仿宋_GB2312" w:eastAsia="仿宋_GB2312" w:cs="仿宋_GB2312"/>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仿宋_GB2312" w:hAnsi="仿宋_GB2312" w:eastAsia="仿宋_GB2312" w:cs="仿宋_GB2312"/>
          <w:color w:val="000000" w:themeColor="text1"/>
          <w:sz w:val="28"/>
          <w:szCs w:val="28"/>
          <w:highlight w:val="none"/>
          <w14:textFill>
            <w14:solidFill>
              <w14:schemeClr w14:val="tx1"/>
            </w14:solidFill>
          </w14:textFill>
        </w:rPr>
        <w:t>根据项目收入、项目成本等，计算项目损益，编制项目损益表。</w:t>
      </w:r>
    </w:p>
    <w:p>
      <w:pPr>
        <w:pStyle w:val="29"/>
        <w:jc w:val="right"/>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8"/>
          <w:szCs w:val="28"/>
          <w:highlight w:val="none"/>
        </w:rPr>
        <w:t>项目损益表</w:t>
      </w:r>
      <w:r>
        <w:rPr>
          <w:rFonts w:hint="eastAsia" w:ascii="仿宋_GB2312" w:hAnsi="仿宋_GB2312" w:eastAsia="仿宋_GB2312" w:cs="仿宋_GB2312"/>
          <w:sz w:val="28"/>
          <w:szCs w:val="28"/>
          <w:highlight w:val="none"/>
          <w:lang w:val="en-US" w:eastAsia="zh-CN"/>
        </w:rPr>
        <w:t xml:space="preserve">                                    </w:t>
      </w:r>
      <w:r>
        <w:rPr>
          <w:rFonts w:hint="eastAsia" w:ascii="仿宋_GB2312" w:hAnsi="仿宋_GB2312" w:eastAsia="仿宋_GB2312" w:cs="仿宋_GB2312"/>
          <w:sz w:val="24"/>
          <w:szCs w:val="24"/>
          <w:highlight w:val="none"/>
          <w:lang w:val="en-US" w:eastAsia="zh-CN"/>
        </w:rPr>
        <w:t>单位：万元</w:t>
      </w:r>
    </w:p>
    <w:tbl>
      <w:tblPr>
        <w:tblStyle w:val="21"/>
        <w:tblW w:w="1389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08"/>
        <w:gridCol w:w="1221"/>
        <w:gridCol w:w="1106"/>
        <w:gridCol w:w="1106"/>
        <w:gridCol w:w="1106"/>
        <w:gridCol w:w="1082"/>
        <w:gridCol w:w="1130"/>
        <w:gridCol w:w="1106"/>
        <w:gridCol w:w="1106"/>
        <w:gridCol w:w="1106"/>
        <w:gridCol w:w="1106"/>
        <w:gridCol w:w="1106"/>
        <w:gridCol w:w="11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3" w:hRule="atLeast"/>
        </w:trPr>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序号</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2024年</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2025年</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2026年</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2027年</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2028年</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2029年</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2030年</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2031年</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2032年</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2033年</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合 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运营收入</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6098</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50745.42</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14634.7</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14634.7</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14634.7</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14634.7</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14634.7</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14634.7</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14634.7</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14634.7</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173921.02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营业成本</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118</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12020.21</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284.82</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284.82</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284.82</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284.82</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284.82</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284.82</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284.82</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284.82</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14416.77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税金及附加</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销售费用</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管理费用</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财务费用</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800</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800</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800</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800</w:t>
            </w:r>
          </w:p>
        </w:tc>
        <w:tc>
          <w:tcPr>
            <w:tcW w:w="11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800</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640</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480</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320</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160</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折旧及摊销</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利润总额</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5180</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37925.21</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13549.88</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13549.88</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13549.88</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13709.88</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13869.88</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14029.88</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14189.88</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14349.88</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153904.25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所得税</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净利润</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5180</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37925.21</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13549.88</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13549.88</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13549.88</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13709.88</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13869.88</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14029.88</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14189.88</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14349.88</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153904.25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7" w:hRule="atLeast"/>
        </w:trPr>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累计净利润</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5180</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43105.21</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56655.09</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70204.97</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83754.85</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97464.73</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111334.61</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125364.49</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139554.37</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153904.25</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bl>
    <w:p>
      <w:pPr>
        <w:numPr>
          <w:ilvl w:val="0"/>
          <w:numId w:val="0"/>
        </w:numPr>
        <w:outlineLvl w:val="0"/>
        <w:rPr>
          <w:rFonts w:hint="eastAsia" w:ascii="仿宋_GB2312" w:hAnsi="仿宋_GB2312" w:eastAsia="仿宋_GB2312" w:cs="仿宋_GB2312"/>
          <w:spacing w:val="0"/>
          <w:kern w:val="2"/>
          <w:sz w:val="28"/>
          <w:szCs w:val="28"/>
          <w:highlight w:val="none"/>
          <w:u w:val="none"/>
          <w:lang w:val="en-US" w:eastAsia="zh-CN" w:bidi="ar-SA"/>
        </w:rPr>
      </w:pPr>
      <w:r>
        <w:rPr>
          <w:rFonts w:hint="eastAsia" w:ascii="仿宋_GB2312" w:hAnsi="仿宋_GB2312" w:eastAsia="仿宋_GB2312" w:cs="仿宋_GB2312"/>
          <w:spacing w:val="0"/>
          <w:kern w:val="2"/>
          <w:sz w:val="28"/>
          <w:szCs w:val="28"/>
          <w:highlight w:val="none"/>
          <w:u w:val="none"/>
          <w:lang w:val="en-US" w:eastAsia="zh-CN" w:bidi="ar-SA"/>
        </w:rPr>
        <w:t>6、根据项目经营、投资、融资情况，编制现金流量表如下：</w:t>
      </w:r>
    </w:p>
    <w:p>
      <w:pPr>
        <w:pStyle w:val="29"/>
        <w:jc w:val="left"/>
        <w:rPr>
          <w:rFonts w:hint="eastAsia" w:ascii="仿宋_GB2312" w:hAnsi="仿宋_GB2312" w:eastAsia="仿宋_GB2312" w:cs="仿宋_GB2312"/>
          <w:sz w:val="24"/>
          <w:szCs w:val="24"/>
          <w:highlight w:val="none"/>
          <w:lang w:val="en-US"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pPr>
        <w:pStyle w:val="6"/>
        <w:numPr>
          <w:ilvl w:val="0"/>
          <w:numId w:val="0"/>
        </w:numPr>
        <w:jc w:val="right"/>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lang w:val="en-US" w:eastAsia="zh-CN"/>
        </w:rPr>
        <w:t xml:space="preserve">现金流量表                                 </w:t>
      </w:r>
      <w:r>
        <w:rPr>
          <w:rFonts w:hint="eastAsia" w:ascii="仿宋_GB2312" w:hAnsi="仿宋_GB2312" w:eastAsia="仿宋_GB2312" w:cs="仿宋_GB2312"/>
          <w:b w:val="0"/>
          <w:bCs/>
          <w:sz w:val="24"/>
          <w:szCs w:val="24"/>
          <w:lang w:val="en-US" w:eastAsia="zh-CN"/>
        </w:rPr>
        <w:t xml:space="preserve">  单位：万元</w:t>
      </w:r>
    </w:p>
    <w:tbl>
      <w:tblPr>
        <w:tblStyle w:val="21"/>
        <w:tblW w:w="1385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55"/>
        <w:gridCol w:w="3325"/>
        <w:gridCol w:w="1376"/>
        <w:gridCol w:w="1380"/>
        <w:gridCol w:w="1378"/>
        <w:gridCol w:w="1385"/>
        <w:gridCol w:w="1385"/>
        <w:gridCol w:w="1385"/>
        <w:gridCol w:w="13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序号</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2022年</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2023年</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2024年</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2025年</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2026年</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2027年</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2028年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一</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经营活动产生的现金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经营活动产生的净现金流量</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5980</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38725.21</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14349.88</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14349.88</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14349.88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经营活动产生的现金流入</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6098</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50745.42</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14634.7</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14634.7</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14634.7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经营活动产生的现金流出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118</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12020.21</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284.82</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284.82</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284.82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二</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投资活动产生的现金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投资活动产生的净现金流量</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-20000</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投资活动产生的净现金流入</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投资活动产生的净现金流出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20000</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三</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融资活动产生的现金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融资活动净现金流量</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24200</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7050</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-800</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-800</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-800</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融资活动产生的现金流入</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25000</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7850</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3.1.1</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项目资本金流入</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5000</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7850</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3.1.2</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债券融资款流入</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20000</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融资活动产生的现金流出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800</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800</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800</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800</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800</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3.2.1</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偿还债券本金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3.2.2</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支付债券利息</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四</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期内现金变动</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4200</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13030</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37925.21</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13549.88</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13549.88</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13549.88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五</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累计盈余资金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9200</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22230</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60155.21</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73705.09</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87254.97</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100804.85</w:t>
            </w:r>
          </w:p>
        </w:tc>
      </w:tr>
    </w:tbl>
    <w:p>
      <w:pPr>
        <w:ind w:firstLine="560" w:firstLineChars="200"/>
        <w:outlineLvl w:val="0"/>
        <w:rPr>
          <w:rFonts w:hint="eastAsia" w:ascii="仿宋_GB2312" w:hAnsi="仿宋_GB2312" w:eastAsia="仿宋_GB2312" w:cs="仿宋_GB2312"/>
          <w:spacing w:val="0"/>
          <w:kern w:val="2"/>
          <w:sz w:val="28"/>
          <w:szCs w:val="28"/>
          <w:highlight w:val="none"/>
          <w:u w:val="none"/>
          <w:lang w:val="en-US" w:eastAsia="zh-CN" w:bidi="ar-SA"/>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pPr>
        <w:pStyle w:val="20"/>
        <w:ind w:left="0" w:leftChars="0" w:firstLine="0" w:firstLineChars="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续：</w:t>
      </w:r>
    </w:p>
    <w:tbl>
      <w:tblPr>
        <w:tblStyle w:val="21"/>
        <w:tblW w:w="1371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40"/>
        <w:gridCol w:w="3627"/>
        <w:gridCol w:w="1523"/>
        <w:gridCol w:w="1525"/>
        <w:gridCol w:w="1525"/>
        <w:gridCol w:w="1525"/>
        <w:gridCol w:w="1525"/>
        <w:gridCol w:w="15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trPr>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序号</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2029年</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2030年</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2031年</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2032年</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2033年</w:t>
            </w:r>
          </w:p>
        </w:tc>
        <w:tc>
          <w:tcPr>
            <w:tcW w:w="15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合计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trPr>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一</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经营活动产生的现金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trPr>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经营活动产生的净现金流量</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14349.88</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14349.88</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14349.88</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14349.88</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14349.88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159504.25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trPr>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经营活动产生的现金流入</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14634.7</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14634.7</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14634.7</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14634.7</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14634.7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173921.02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trPr>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经营活动产生的现金流出</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284.82</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284.82</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284.82</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284.82</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284.82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14416.77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trPr>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二</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投资活动产生的现金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trPr>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投资活动产生的净现金流量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trPr>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投资活动产生的净现金流入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trPr>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投资活动产生的净现金流出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trPr>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三</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融资活动产生的现金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trPr>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融资活动净现金流量</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-4640</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-4480</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-4320</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-4160</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11450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trPr>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融资活动产生的现金流入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37850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trPr>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3.1.1</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项目资本金流入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17850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trPr>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3.1.2</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债券融资款流入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trPr>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融资活动产生的现金流出</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4640</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4480</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4320</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4160</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trPr>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3.2.1</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偿还债券本金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trPr>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3.2.2</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支付债券利息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trPr>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四</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期内现金变动</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9709.88</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9869.88</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10029.88</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10189.88</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10349.88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150954.25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5" w:hRule="atLeast"/>
        </w:trPr>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五</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累计盈余资金</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110514.73</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120384.61</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130414.49</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140604.37</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150954.25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18"/>
                <w:szCs w:val="18"/>
                <w:u w:val="none"/>
              </w:rPr>
            </w:pPr>
          </w:p>
        </w:tc>
      </w:tr>
    </w:tbl>
    <w:p>
      <w:pPr>
        <w:pStyle w:val="20"/>
        <w:ind w:left="0" w:leftChars="0" w:firstLine="0" w:firstLineChars="0"/>
        <w:rPr>
          <w:rFonts w:hint="eastAsia" w:ascii="仿宋_GB2312" w:hAnsi="仿宋_GB2312" w:eastAsia="仿宋_GB2312" w:cs="仿宋_GB2312"/>
          <w:lang w:val="en-US" w:eastAsia="zh-CN"/>
        </w:rPr>
      </w:pPr>
    </w:p>
    <w:p>
      <w:pPr>
        <w:pStyle w:val="20"/>
        <w:ind w:left="0" w:leftChars="0" w:firstLine="0" w:firstLineChars="0"/>
        <w:rPr>
          <w:rFonts w:hint="eastAsia" w:ascii="仿宋_GB2312" w:hAnsi="仿宋_GB2312" w:eastAsia="仿宋_GB2312" w:cs="仿宋_GB2312"/>
          <w:lang w:val="en-US" w:eastAsia="zh-CN"/>
        </w:rPr>
      </w:pPr>
    </w:p>
    <w:p>
      <w:pPr>
        <w:pStyle w:val="20"/>
        <w:ind w:left="0" w:leftChars="0" w:firstLine="0" w:firstLineChars="0"/>
        <w:rPr>
          <w:rFonts w:hint="eastAsia" w:ascii="仿宋_GB2312" w:hAnsi="仿宋_GB2312" w:eastAsia="仿宋_GB2312" w:cs="仿宋_GB2312"/>
          <w:lang w:val="en-US"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pPr>
        <w:ind w:firstLine="562" w:firstLineChars="200"/>
        <w:outlineLvl w:val="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八</w:t>
      </w:r>
      <w:r>
        <w:rPr>
          <w:rFonts w:hint="eastAsia" w:ascii="仿宋_GB2312" w:hAnsi="仿宋_GB2312" w:eastAsia="仿宋_GB2312" w:cs="仿宋_GB2312"/>
          <w:b/>
          <w:bCs/>
          <w:sz w:val="28"/>
          <w:szCs w:val="28"/>
        </w:rPr>
        <w:t>、项目融资与收益平衡财务评估</w:t>
      </w:r>
    </w:p>
    <w:p>
      <w:pPr>
        <w:ind w:firstLine="420" w:firstLineChars="150"/>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（一）融资成本测算</w:t>
      </w:r>
    </w:p>
    <w:p>
      <w:pPr>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lang w:val="en-US" w:eastAsia="zh-CN"/>
        </w:rPr>
        <w:t>本</w:t>
      </w:r>
      <w:r>
        <w:rPr>
          <w:rFonts w:hint="eastAsia" w:ascii="仿宋_GB2312" w:hAnsi="仿宋_GB2312" w:eastAsia="仿宋_GB2312" w:cs="仿宋_GB2312"/>
          <w:sz w:val="28"/>
          <w:szCs w:val="28"/>
        </w:rPr>
        <w:t>项目</w:t>
      </w:r>
      <w:r>
        <w:rPr>
          <w:rFonts w:hint="eastAsia" w:ascii="仿宋_GB2312" w:hAnsi="仿宋_GB2312" w:eastAsia="仿宋_GB2312" w:cs="仿宋_GB2312"/>
          <w:sz w:val="28"/>
          <w:szCs w:val="28"/>
          <w:lang w:val="en-US" w:eastAsia="zh-CN"/>
        </w:rPr>
        <w:t>拟申请政府专项债券额度20000万元，</w:t>
      </w:r>
      <w:r>
        <w:rPr>
          <w:rFonts w:hint="eastAsia" w:ascii="仿宋_GB2312" w:hAnsi="仿宋_GB2312" w:eastAsia="仿宋_GB2312" w:cs="仿宋_GB2312"/>
          <w:sz w:val="28"/>
          <w:szCs w:val="28"/>
        </w:rPr>
        <w:t>假设融资利率4%，期限</w:t>
      </w:r>
      <w:r>
        <w:rPr>
          <w:rFonts w:hint="eastAsia" w:ascii="仿宋_GB2312" w:hAnsi="仿宋_GB2312" w:eastAsia="仿宋_GB2312" w:cs="仿宋_GB2312"/>
          <w:sz w:val="28"/>
          <w:szCs w:val="28"/>
          <w:lang w:val="en-US" w:eastAsia="zh-CN"/>
        </w:rPr>
        <w:t>10</w:t>
      </w:r>
      <w:r>
        <w:rPr>
          <w:rFonts w:hint="eastAsia" w:ascii="仿宋_GB2312" w:hAnsi="仿宋_GB2312" w:eastAsia="仿宋_GB2312" w:cs="仿宋_GB2312"/>
          <w:sz w:val="28"/>
          <w:szCs w:val="28"/>
        </w:rPr>
        <w:t>年，利息按每半年付息，存续期的</w:t>
      </w:r>
      <w:r>
        <w:rPr>
          <w:rFonts w:hint="eastAsia" w:ascii="仿宋_GB2312" w:hAnsi="仿宋_GB2312" w:eastAsia="仿宋_GB2312" w:cs="仿宋_GB2312"/>
          <w:sz w:val="28"/>
          <w:szCs w:val="28"/>
          <w:lang w:eastAsia="zh-CN"/>
        </w:rPr>
        <w:t>后</w:t>
      </w:r>
      <w:r>
        <w:rPr>
          <w:rFonts w:hint="eastAsia" w:ascii="仿宋_GB2312" w:hAnsi="仿宋_GB2312" w:eastAsia="仿宋_GB2312" w:cs="仿宋_GB2312"/>
          <w:sz w:val="28"/>
          <w:szCs w:val="28"/>
          <w:lang w:val="en-US" w:eastAsia="zh-CN"/>
        </w:rPr>
        <w:t>10</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eastAsia="zh-CN"/>
        </w:rPr>
        <w:t>的第</w:t>
      </w:r>
      <w:r>
        <w:rPr>
          <w:rFonts w:hint="eastAsia" w:ascii="仿宋_GB2312" w:hAnsi="仿宋_GB2312" w:eastAsia="仿宋_GB2312" w:cs="仿宋_GB2312"/>
          <w:sz w:val="28"/>
          <w:szCs w:val="28"/>
          <w:lang w:val="en-US" w:eastAsia="zh-CN"/>
        </w:rPr>
        <w:t>6-10年的</w:t>
      </w:r>
      <w:r>
        <w:rPr>
          <w:rFonts w:hint="eastAsia" w:ascii="仿宋_GB2312" w:hAnsi="仿宋_GB2312" w:eastAsia="仿宋_GB2312" w:cs="仿宋_GB2312"/>
          <w:sz w:val="28"/>
          <w:szCs w:val="28"/>
        </w:rPr>
        <w:t>每年的还本日偿还债券本金</w:t>
      </w:r>
      <w:r>
        <w:rPr>
          <w:rFonts w:hint="eastAsia" w:ascii="仿宋_GB2312" w:hAnsi="仿宋_GB2312" w:eastAsia="仿宋_GB2312" w:cs="仿宋_GB2312"/>
          <w:sz w:val="28"/>
          <w:szCs w:val="28"/>
          <w:lang w:val="en-US" w:eastAsia="zh-CN"/>
        </w:rPr>
        <w:t>4000万元</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已</w:t>
      </w:r>
      <w:r>
        <w:rPr>
          <w:rFonts w:hint="eastAsia" w:ascii="仿宋_GB2312" w:hAnsi="仿宋_GB2312" w:eastAsia="仿宋_GB2312" w:cs="仿宋_GB2312"/>
          <w:sz w:val="28"/>
          <w:szCs w:val="28"/>
          <w:lang w:val="en-US" w:eastAsia="zh-CN"/>
        </w:rPr>
        <w:t>兑付</w:t>
      </w:r>
      <w:r>
        <w:rPr>
          <w:rFonts w:hint="eastAsia" w:ascii="仿宋_GB2312" w:hAnsi="仿宋_GB2312" w:eastAsia="仿宋_GB2312" w:cs="仿宋_GB2312"/>
          <w:sz w:val="28"/>
          <w:szCs w:val="28"/>
        </w:rPr>
        <w:t>本金不</w:t>
      </w:r>
      <w:r>
        <w:rPr>
          <w:rFonts w:hint="eastAsia" w:ascii="仿宋_GB2312" w:hAnsi="仿宋_GB2312" w:eastAsia="仿宋_GB2312" w:cs="仿宋_GB2312"/>
          <w:sz w:val="28"/>
          <w:szCs w:val="28"/>
          <w:lang w:eastAsia="zh-CN"/>
        </w:rPr>
        <w:t>再</w:t>
      </w:r>
      <w:r>
        <w:rPr>
          <w:rFonts w:hint="eastAsia" w:ascii="仿宋_GB2312" w:hAnsi="仿宋_GB2312" w:eastAsia="仿宋_GB2312" w:cs="仿宋_GB2312"/>
          <w:sz w:val="28"/>
          <w:szCs w:val="28"/>
        </w:rPr>
        <w:t>计息。</w:t>
      </w:r>
      <w:r>
        <w:rPr>
          <w:rFonts w:hint="eastAsia" w:ascii="仿宋_GB2312" w:hAnsi="仿宋_GB2312" w:eastAsia="仿宋_GB2312" w:cs="仿宋_GB2312"/>
          <w:color w:val="000000"/>
          <w:sz w:val="28"/>
          <w:szCs w:val="28"/>
        </w:rPr>
        <w:t>测算情况如下：</w:t>
      </w:r>
    </w:p>
    <w:p>
      <w:pPr>
        <w:jc w:val="center"/>
        <w:outlineLvl w:val="1"/>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还本付息表</w:t>
      </w:r>
    </w:p>
    <w:p>
      <w:pPr>
        <w:ind w:firstLine="360" w:firstLineChars="150"/>
        <w:jc w:val="right"/>
        <w:outlineLvl w:val="1"/>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单位：万元</w:t>
      </w:r>
    </w:p>
    <w:tbl>
      <w:tblPr>
        <w:tblStyle w:val="21"/>
        <w:tblW w:w="83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25"/>
        <w:gridCol w:w="1035"/>
        <w:gridCol w:w="1035"/>
        <w:gridCol w:w="1035"/>
        <w:gridCol w:w="1035"/>
        <w:gridCol w:w="1035"/>
        <w:gridCol w:w="1035"/>
        <w:gridCol w:w="10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项目计算期</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期初本金金额</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本期发行金额</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本期偿还本金</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期末本金金额</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融资利率</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应付利息</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本息和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2023年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2024年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2025年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2026年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2027年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2028年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2029年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16000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640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4640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2030年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16000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4480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2031年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8000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320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4320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2032年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8000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4160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2033年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6400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26400</w:t>
            </w:r>
          </w:p>
        </w:tc>
      </w:tr>
    </w:tbl>
    <w:p>
      <w:pPr>
        <w:ind w:firstLine="360" w:firstLineChars="150"/>
        <w:jc w:val="right"/>
        <w:outlineLvl w:val="1"/>
        <w:rPr>
          <w:rFonts w:hint="eastAsia" w:ascii="仿宋_GB2312" w:hAnsi="仿宋_GB2312" w:eastAsia="仿宋_GB2312" w:cs="仿宋_GB2312"/>
          <w:color w:val="000000"/>
          <w:sz w:val="24"/>
          <w:szCs w:val="24"/>
        </w:rPr>
      </w:pPr>
    </w:p>
    <w:p>
      <w:pPr>
        <w:ind w:firstLine="420" w:firstLineChars="150"/>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（二）项目收益测算</w:t>
      </w:r>
    </w:p>
    <w:p>
      <w:pPr>
        <w:ind w:firstLine="420" w:firstLineChars="15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（1）项目收益</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根据上述项目收益情况，本期债券所涉及申报项目在债券存续期内均可产生相应收益。</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highlight w:val="none"/>
          <w:lang w:eastAsia="zh-CN"/>
        </w:rPr>
        <w:t>武安工业园区产城融合示范区基础设施建设项目(二期)</w:t>
      </w:r>
      <w:r>
        <w:rPr>
          <w:rFonts w:hint="eastAsia" w:ascii="仿宋_GB2312" w:hAnsi="仿宋_GB2312" w:eastAsia="仿宋_GB2312" w:cs="仿宋_GB2312"/>
          <w:sz w:val="28"/>
          <w:szCs w:val="28"/>
        </w:rPr>
        <w:t>债券存续期内收入来源为</w:t>
      </w:r>
      <w:r>
        <w:rPr>
          <w:rFonts w:hint="eastAsia" w:ascii="仿宋_GB2312" w:hAnsi="仿宋_GB2312" w:eastAsia="仿宋_GB2312" w:cs="仿宋_GB2312"/>
          <w:bCs/>
          <w:sz w:val="28"/>
          <w:szCs w:val="28"/>
          <w:highlight w:val="none"/>
          <w:lang w:val="en-US" w:eastAsia="zh-CN"/>
        </w:rPr>
        <w:t>土地出让收入和城市配套费收入</w:t>
      </w:r>
      <w:r>
        <w:rPr>
          <w:rFonts w:hint="eastAsia" w:ascii="仿宋_GB2312" w:hAnsi="仿宋_GB2312" w:eastAsia="仿宋_GB2312" w:cs="仿宋_GB2312"/>
          <w:sz w:val="28"/>
          <w:szCs w:val="28"/>
        </w:rPr>
        <w:t>，预计可支配收益为</w:t>
      </w:r>
      <w:r>
        <w:rPr>
          <w:rFonts w:hint="eastAsia" w:ascii="仿宋_GB2312" w:hAnsi="仿宋_GB2312" w:eastAsia="仿宋_GB2312" w:cs="仿宋_GB2312"/>
          <w:sz w:val="28"/>
          <w:szCs w:val="28"/>
          <w:highlight w:val="none"/>
          <w:lang w:val="en-US" w:eastAsia="zh-CN"/>
        </w:rPr>
        <w:t>159504.25</w:t>
      </w:r>
      <w:r>
        <w:rPr>
          <w:rFonts w:hint="eastAsia" w:ascii="仿宋_GB2312" w:hAnsi="仿宋_GB2312" w:eastAsia="仿宋_GB2312" w:cs="仿宋_GB2312"/>
          <w:sz w:val="28"/>
          <w:szCs w:val="28"/>
        </w:rPr>
        <w:t xml:space="preserve">万元。 </w:t>
      </w:r>
    </w:p>
    <w:p>
      <w:pPr>
        <w:ind w:firstLine="420" w:firstLineChars="15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）收益与融资平衡情况</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通过对项目还本付息的测算：</w:t>
      </w:r>
      <w:r>
        <w:rPr>
          <w:rFonts w:hint="eastAsia" w:ascii="仿宋_GB2312" w:hAnsi="仿宋_GB2312" w:eastAsia="仿宋_GB2312" w:cs="仿宋_GB2312"/>
          <w:sz w:val="28"/>
          <w:szCs w:val="28"/>
          <w:highlight w:val="none"/>
          <w:lang w:eastAsia="zh-CN"/>
        </w:rPr>
        <w:t>武安工业园区产城融合示范区基础设施建设项目(二期)</w:t>
      </w:r>
      <w:r>
        <w:rPr>
          <w:rFonts w:hint="eastAsia" w:ascii="仿宋_GB2312" w:hAnsi="仿宋_GB2312" w:eastAsia="仿宋_GB2312" w:cs="仿宋_GB2312"/>
          <w:sz w:val="28"/>
          <w:szCs w:val="28"/>
        </w:rPr>
        <w:t>用于资金平衡的相关收益为</w:t>
      </w:r>
      <w:r>
        <w:rPr>
          <w:rFonts w:hint="eastAsia" w:ascii="仿宋_GB2312" w:hAnsi="仿宋_GB2312" w:eastAsia="仿宋_GB2312" w:cs="仿宋_GB2312"/>
          <w:sz w:val="28"/>
          <w:szCs w:val="28"/>
          <w:lang w:val="en-US" w:eastAsia="zh-CN"/>
        </w:rPr>
        <w:t>159504.25</w:t>
      </w:r>
      <w:r>
        <w:rPr>
          <w:rFonts w:hint="eastAsia" w:ascii="仿宋_GB2312" w:hAnsi="仿宋_GB2312" w:eastAsia="仿宋_GB2312" w:cs="仿宋_GB2312"/>
          <w:sz w:val="28"/>
          <w:szCs w:val="28"/>
        </w:rPr>
        <w:t>万元，融资本息为</w:t>
      </w:r>
      <w:r>
        <w:rPr>
          <w:rFonts w:hint="eastAsia" w:ascii="仿宋_GB2312" w:hAnsi="仿宋_GB2312" w:eastAsia="仿宋_GB2312" w:cs="仿宋_GB2312"/>
          <w:sz w:val="28"/>
          <w:szCs w:val="28"/>
          <w:lang w:val="en-US" w:eastAsia="zh-CN"/>
        </w:rPr>
        <w:t>26400</w:t>
      </w:r>
      <w:r>
        <w:rPr>
          <w:rFonts w:hint="eastAsia" w:ascii="仿宋_GB2312" w:hAnsi="仿宋_GB2312" w:eastAsia="仿宋_GB2312" w:cs="仿宋_GB2312"/>
          <w:sz w:val="28"/>
          <w:szCs w:val="28"/>
        </w:rPr>
        <w:t>万元，覆盖倍数</w:t>
      </w:r>
      <w:r>
        <w:rPr>
          <w:rFonts w:hint="eastAsia" w:ascii="仿宋_GB2312" w:hAnsi="仿宋_GB2312" w:eastAsia="仿宋_GB2312" w:cs="仿宋_GB2312"/>
          <w:sz w:val="28"/>
          <w:szCs w:val="28"/>
          <w:highlight w:val="none"/>
        </w:rPr>
        <w:t>为</w:t>
      </w:r>
      <w:r>
        <w:rPr>
          <w:rFonts w:hint="eastAsia" w:ascii="仿宋_GB2312" w:hAnsi="仿宋_GB2312" w:eastAsia="仿宋_GB2312" w:cs="仿宋_GB2312"/>
          <w:sz w:val="28"/>
          <w:szCs w:val="28"/>
          <w:highlight w:val="none"/>
          <w:lang w:val="en-US" w:eastAsia="zh-CN"/>
        </w:rPr>
        <w:t>6.04倍</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rPr>
        <w:t>认为</w:t>
      </w:r>
      <w:r>
        <w:rPr>
          <w:rFonts w:hint="eastAsia" w:ascii="仿宋_GB2312" w:hAnsi="仿宋_GB2312" w:eastAsia="仿宋_GB2312" w:cs="仿宋_GB2312"/>
          <w:sz w:val="28"/>
          <w:szCs w:val="28"/>
          <w:highlight w:val="none"/>
          <w:lang w:eastAsia="zh-CN"/>
        </w:rPr>
        <w:t>武安工业园区产城融合示范区基础设施建设项目(二期)</w:t>
      </w:r>
      <w:r>
        <w:rPr>
          <w:rFonts w:hint="eastAsia" w:ascii="仿宋_GB2312" w:hAnsi="仿宋_GB2312" w:eastAsia="仿宋_GB2312" w:cs="仿宋_GB2312"/>
          <w:sz w:val="28"/>
          <w:szCs w:val="28"/>
        </w:rPr>
        <w:t>，能够合理保证偿还本期债券本金和利息，可以实现项目收益与融资自求平衡。</w:t>
      </w:r>
    </w:p>
    <w:p>
      <w:pPr>
        <w:jc w:val="center"/>
        <w:outlineLvl w:val="2"/>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项目募投项目平衡情况</w:t>
      </w:r>
    </w:p>
    <w:p>
      <w:pPr>
        <w:ind w:firstLine="5760" w:firstLineChars="2400"/>
        <w:jc w:val="right"/>
        <w:outlineLvl w:val="1"/>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单位：万元 </w:t>
      </w:r>
    </w:p>
    <w:tbl>
      <w:tblPr>
        <w:tblStyle w:val="21"/>
        <w:tblW w:w="837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396"/>
        <w:gridCol w:w="1396"/>
        <w:gridCol w:w="1396"/>
        <w:gridCol w:w="1396"/>
        <w:gridCol w:w="1396"/>
        <w:gridCol w:w="13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37" w:hRule="atLeast"/>
          <w:jc w:val="center"/>
        </w:trPr>
        <w:tc>
          <w:tcPr>
            <w:tcW w:w="1396" w:type="dxa"/>
            <w:tcBorders>
              <w:tl2br w:val="nil"/>
              <w:tr2bl w:val="nil"/>
            </w:tcBorders>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项目名称</w:t>
            </w:r>
          </w:p>
        </w:tc>
        <w:tc>
          <w:tcPr>
            <w:tcW w:w="1396" w:type="dxa"/>
            <w:tcBorders>
              <w:tl2br w:val="nil"/>
              <w:tr2bl w:val="nil"/>
            </w:tcBorders>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项目资金总需求</w:t>
            </w:r>
          </w:p>
        </w:tc>
        <w:tc>
          <w:tcPr>
            <w:tcW w:w="1396" w:type="dxa"/>
            <w:tcBorders>
              <w:tl2br w:val="nil"/>
              <w:tr2bl w:val="nil"/>
            </w:tcBorders>
            <w:vAlign w:val="center"/>
          </w:tcPr>
          <w:p>
            <w:pPr>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平衡资金</w:t>
            </w:r>
          </w:p>
        </w:tc>
        <w:tc>
          <w:tcPr>
            <w:tcW w:w="1396" w:type="dxa"/>
            <w:tcBorders>
              <w:tl2br w:val="nil"/>
              <w:tr2bl w:val="nil"/>
            </w:tcBorders>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计划发行额</w:t>
            </w:r>
          </w:p>
        </w:tc>
        <w:tc>
          <w:tcPr>
            <w:tcW w:w="1396" w:type="dxa"/>
            <w:tcBorders>
              <w:tl2br w:val="nil"/>
              <w:tr2bl w:val="nil"/>
            </w:tcBorders>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rPr>
              <w:t>预计融资</w:t>
            </w:r>
            <w:r>
              <w:rPr>
                <w:rFonts w:hint="eastAsia" w:ascii="仿宋_GB2312" w:hAnsi="仿宋_GB2312" w:eastAsia="仿宋_GB2312" w:cs="仿宋_GB2312"/>
                <w:sz w:val="21"/>
                <w:szCs w:val="21"/>
                <w:lang w:val="en-US" w:eastAsia="zh-CN"/>
              </w:rPr>
              <w:t>本息</w:t>
            </w:r>
          </w:p>
        </w:tc>
        <w:tc>
          <w:tcPr>
            <w:tcW w:w="1398" w:type="dxa"/>
            <w:tcBorders>
              <w:tl2br w:val="nil"/>
              <w:tr2bl w:val="nil"/>
            </w:tcBorders>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项目预期收入对融资成本覆盖倍数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46" w:hRule="atLeast"/>
          <w:jc w:val="center"/>
        </w:trPr>
        <w:tc>
          <w:tcPr>
            <w:tcW w:w="1396" w:type="dxa"/>
            <w:tcBorders>
              <w:tl2br w:val="nil"/>
              <w:tr2bl w:val="nil"/>
            </w:tcBorders>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武安工业园区产城融合示范区基础设施建设项目(二期)</w:t>
            </w:r>
          </w:p>
        </w:tc>
        <w:tc>
          <w:tcPr>
            <w:tcW w:w="1396" w:type="dxa"/>
            <w:tcBorders>
              <w:tl2br w:val="nil"/>
              <w:tr2bl w:val="nil"/>
            </w:tcBorders>
            <w:vAlign w:val="center"/>
          </w:tcPr>
          <w:p>
            <w:pPr>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37850</w:t>
            </w:r>
          </w:p>
        </w:tc>
        <w:tc>
          <w:tcPr>
            <w:tcW w:w="1396" w:type="dxa"/>
            <w:tcBorders>
              <w:tl2br w:val="nil"/>
              <w:tr2bl w:val="nil"/>
            </w:tcBorders>
            <w:vAlign w:val="center"/>
          </w:tcPr>
          <w:p>
            <w:pPr>
              <w:jc w:val="center"/>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159504.25</w:t>
            </w:r>
          </w:p>
        </w:tc>
        <w:tc>
          <w:tcPr>
            <w:tcW w:w="1396" w:type="dxa"/>
            <w:tcBorders>
              <w:tl2br w:val="nil"/>
              <w:tr2bl w:val="nil"/>
            </w:tcBorders>
            <w:vAlign w:val="center"/>
          </w:tcPr>
          <w:p>
            <w:pPr>
              <w:jc w:val="center"/>
              <w:rPr>
                <w:rFonts w:hint="default" w:ascii="仿宋_GB2312" w:hAnsi="仿宋_GB2312" w:eastAsia="仿宋_GB2312" w:cs="仿宋_GB2312"/>
                <w:sz w:val="21"/>
                <w:szCs w:val="21"/>
                <w:highlight w:val="none"/>
                <w:lang w:val="en-US"/>
              </w:rPr>
            </w:pPr>
            <w:r>
              <w:rPr>
                <w:rFonts w:hint="eastAsia" w:ascii="仿宋_GB2312" w:hAnsi="仿宋_GB2312" w:eastAsia="仿宋_GB2312" w:cs="仿宋_GB2312"/>
                <w:sz w:val="21"/>
                <w:szCs w:val="21"/>
                <w:highlight w:val="none"/>
                <w:lang w:val="en-US" w:eastAsia="zh-CN"/>
              </w:rPr>
              <w:t>20000</w:t>
            </w:r>
          </w:p>
        </w:tc>
        <w:tc>
          <w:tcPr>
            <w:tcW w:w="1396" w:type="dxa"/>
            <w:tcBorders>
              <w:tl2br w:val="nil"/>
              <w:tr2bl w:val="nil"/>
            </w:tcBorders>
            <w:vAlign w:val="center"/>
          </w:tcPr>
          <w:p>
            <w:pPr>
              <w:jc w:val="center"/>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26400</w:t>
            </w:r>
          </w:p>
        </w:tc>
        <w:tc>
          <w:tcPr>
            <w:tcW w:w="1398" w:type="dxa"/>
            <w:tcBorders>
              <w:tl2br w:val="nil"/>
              <w:tr2bl w:val="nil"/>
            </w:tcBorders>
            <w:vAlign w:val="center"/>
          </w:tcPr>
          <w:p>
            <w:pPr>
              <w:jc w:val="center"/>
              <w:rPr>
                <w:rFonts w:hint="default"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6.04</w:t>
            </w:r>
          </w:p>
        </w:tc>
      </w:tr>
    </w:tbl>
    <w:p>
      <w:pPr>
        <w:ind w:firstLine="643" w:firstLineChars="200"/>
        <w:jc w:val="center"/>
        <w:rPr>
          <w:rFonts w:hint="eastAsia" w:ascii="仿宋_GB2312" w:hAnsi="仿宋_GB2312" w:eastAsia="仿宋_GB2312" w:cs="仿宋_GB2312"/>
          <w:b/>
          <w:sz w:val="32"/>
          <w:szCs w:val="32"/>
        </w:rPr>
      </w:pPr>
    </w:p>
    <w:p>
      <w:pPr>
        <w:ind w:firstLine="562" w:firstLineChars="200"/>
        <w:outlineLvl w:val="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九</w:t>
      </w:r>
      <w:r>
        <w:rPr>
          <w:rFonts w:hint="eastAsia" w:ascii="仿宋_GB2312" w:hAnsi="仿宋_GB2312" w:eastAsia="仿宋_GB2312" w:cs="仿宋_GB2312"/>
          <w:b/>
          <w:sz w:val="28"/>
          <w:szCs w:val="28"/>
        </w:rPr>
        <w:t>、项目风险评估及控制措施</w:t>
      </w:r>
    </w:p>
    <w:p>
      <w:pPr>
        <w:ind w:firstLine="420" w:firstLineChars="150"/>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（一）风险评估及控制措施</w:t>
      </w:r>
    </w:p>
    <w:p>
      <w:pPr>
        <w:pageBreakBefore w:val="0"/>
        <w:kinsoku/>
        <w:wordWrap/>
        <w:topLinePunct w:val="0"/>
        <w:bidi w:val="0"/>
        <w:spacing w:line="360" w:lineRule="auto"/>
        <w:ind w:left="0" w:leftChars="0" w:right="0"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(1)政策风险</w:t>
      </w:r>
    </w:p>
    <w:p>
      <w:pPr>
        <w:pageBreakBefore w:val="0"/>
        <w:kinsoku/>
        <w:wordWrap/>
        <w:topLinePunct w:val="0"/>
        <w:bidi w:val="0"/>
        <w:spacing w:line="360" w:lineRule="auto"/>
        <w:ind w:left="0" w:leftChars="0" w:right="0"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地方政府发行的专项债券，如果国家针对专项债券发行政策进行调整，可能导致后续债券发行难以实现，进而影响项目后续建设。</w:t>
      </w:r>
    </w:p>
    <w:p>
      <w:pPr>
        <w:pageBreakBefore w:val="0"/>
        <w:kinsoku/>
        <w:wordWrap/>
        <w:topLinePunct w:val="0"/>
        <w:bidi w:val="0"/>
        <w:spacing w:line="360" w:lineRule="auto"/>
        <w:ind w:left="0" w:leftChars="0" w:right="0"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风险控制措施：本次债券发行是依据《国务院关于加强地方政府性债务管理的意见》(国发[2014]43号)，2019年《中共中央办公厅国务院办公厅关于做好地方政府专项债券发行及项目配套融资工作的通知》等政策文件要求实施的，国家相关政策变化可能性较小。同时如遇国家政策调整，专项债券发行人将根据调整后的国家政策，积极统筹安排地方专项资金，多渠道筹措项目建设运营后续资金，确保本次发行债券建设的铁路项目按期完工，并顺利投入运营。</w:t>
      </w:r>
    </w:p>
    <w:p>
      <w:pPr>
        <w:pageBreakBefore w:val="0"/>
        <w:kinsoku/>
        <w:wordWrap/>
        <w:topLinePunct w:val="0"/>
        <w:bidi w:val="0"/>
        <w:spacing w:line="360" w:lineRule="auto"/>
        <w:ind w:left="0" w:leftChars="0" w:right="0"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(2)利率波动风险</w:t>
      </w:r>
    </w:p>
    <w:p>
      <w:pPr>
        <w:pageBreakBefore w:val="0"/>
        <w:kinsoku/>
        <w:wordWrap/>
        <w:topLinePunct w:val="0"/>
        <w:bidi w:val="0"/>
        <w:spacing w:line="360" w:lineRule="auto"/>
        <w:ind w:left="0" w:leftChars="0" w:right="0"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在政府专项债券存续期内，国际、国内宏观经济环境的变化，国家经济政策变动等因素会引起债务资本市场利率的波动，市场利率波动将会对本项目的财务成本产生影响，进而影响项目投资收益的平衡。</w:t>
      </w:r>
    </w:p>
    <w:p>
      <w:pPr>
        <w:pageBreakBefore w:val="0"/>
        <w:kinsoku/>
        <w:wordWrap/>
        <w:topLinePunct w:val="0"/>
        <w:bidi w:val="0"/>
        <w:spacing w:line="360" w:lineRule="auto"/>
        <w:ind w:left="0" w:leftChars="0" w:right="0"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风险控制措施：为控制项目融资平衡风险，可动态调整债券发行期限和还款方式及时间，做好期限配比、还款计划和准备，加快资金周转，适当增大流动比率，充分盘活资金，使用资金使用效率收益对冲利率波动损失。</w:t>
      </w:r>
    </w:p>
    <w:p>
      <w:pPr>
        <w:pageBreakBefore w:val="0"/>
        <w:kinsoku/>
        <w:wordWrap/>
        <w:topLinePunct w:val="0"/>
        <w:bidi w:val="0"/>
        <w:spacing w:line="360" w:lineRule="auto"/>
        <w:ind w:left="0" w:leftChars="0" w:right="0"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(3)财务风险</w:t>
      </w:r>
    </w:p>
    <w:p>
      <w:pPr>
        <w:pageBreakBefore w:val="0"/>
        <w:kinsoku/>
        <w:wordWrap/>
        <w:topLinePunct w:val="0"/>
        <w:bidi w:val="0"/>
        <w:spacing w:line="360" w:lineRule="auto"/>
        <w:ind w:left="0" w:leftChars="0" w:right="0"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本项目建设过程中，施工所需的原材料价格受市场因素影响而显著上涨，将导致施工成本增加、财务负担加重，进而影响项目建设进度，以及项目建设期内专项债券的利息兑付，因此面临一定财务风险。</w:t>
      </w:r>
    </w:p>
    <w:p>
      <w:pPr>
        <w:pageBreakBefore w:val="0"/>
        <w:kinsoku/>
        <w:wordWrap/>
        <w:topLinePunct w:val="0"/>
        <w:bidi w:val="0"/>
        <w:spacing w:line="360" w:lineRule="auto"/>
        <w:ind w:left="0" w:leftChars="0" w:right="0"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风险控制措施：项目可行性研究报告中，在测算项目总投资时已考虑相关风险。同时，在项目建设过程中，加强项目施工预算管理、招标及合同管理，尽可能控制建设成本。如在项目建设过程中由于建设成本增加，导致财务风险出现，将通过统筹安排积极筹措其他资金，已调整增加对应项目资本金的方式，确保项目顺利建设以及项目建设期内所发专项债券利息的全额兑付。</w:t>
      </w:r>
    </w:p>
    <w:p>
      <w:pPr>
        <w:pageBreakBefore w:val="0"/>
        <w:kinsoku/>
        <w:wordWrap/>
        <w:topLinePunct w:val="0"/>
        <w:bidi w:val="0"/>
        <w:spacing w:line="360" w:lineRule="auto"/>
        <w:ind w:left="0" w:leftChars="0" w:right="0"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sz w:val="28"/>
          <w:szCs w:val="28"/>
          <w:lang w:val="en-US" w:eastAsia="zh-CN"/>
        </w:rPr>
        <w:t>4</w:t>
      </w:r>
      <w:r>
        <w:rPr>
          <w:rFonts w:hint="eastAsia" w:ascii="仿宋_GB2312" w:hAnsi="仿宋_GB2312" w:eastAsia="仿宋_GB2312" w:cs="仿宋_GB2312"/>
          <w:color w:val="000000"/>
          <w:sz w:val="28"/>
          <w:szCs w:val="28"/>
        </w:rPr>
        <w:t>)工程风险</w:t>
      </w:r>
    </w:p>
    <w:p>
      <w:pPr>
        <w:pageBreakBefore w:val="0"/>
        <w:kinsoku/>
        <w:wordWrap/>
        <w:topLinePunct w:val="0"/>
        <w:bidi w:val="0"/>
        <w:spacing w:line="360" w:lineRule="auto"/>
        <w:ind w:left="0" w:leftChars="0" w:right="0"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工程施工阶段存在难以预测的地质情况导致施工不当、管理不善引起的风险。</w:t>
      </w:r>
    </w:p>
    <w:p>
      <w:pPr>
        <w:pageBreakBefore w:val="0"/>
        <w:kinsoku/>
        <w:wordWrap/>
        <w:topLinePunct w:val="0"/>
        <w:bidi w:val="0"/>
        <w:spacing w:line="360" w:lineRule="auto"/>
        <w:ind w:left="0" w:leftChars="0" w:right="0"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风险控制措施：与设计单位保持良好的沟通，设计阶段加大投入，做好、做全现场勘探、勘查工作，尽量优化设计，防止设计方案发生较大变化，尽量减少不必要的设计变更，争取较大的设计价差。</w:t>
      </w:r>
    </w:p>
    <w:p>
      <w:pPr>
        <w:pageBreakBefore w:val="0"/>
        <w:kinsoku/>
        <w:wordWrap/>
        <w:topLinePunct w:val="0"/>
        <w:bidi w:val="0"/>
        <w:spacing w:line="360" w:lineRule="auto"/>
        <w:ind w:left="0" w:leftChars="0" w:right="0"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sz w:val="28"/>
          <w:szCs w:val="28"/>
          <w:lang w:val="en-US" w:eastAsia="zh-CN"/>
        </w:rPr>
        <w:t>5</w:t>
      </w:r>
      <w:r>
        <w:rPr>
          <w:rFonts w:hint="eastAsia" w:ascii="仿宋_GB2312" w:hAnsi="仿宋_GB2312" w:eastAsia="仿宋_GB2312" w:cs="仿宋_GB2312"/>
          <w:color w:val="000000"/>
          <w:sz w:val="28"/>
          <w:szCs w:val="28"/>
        </w:rPr>
        <w:t>)社会影响风险</w:t>
      </w:r>
    </w:p>
    <w:p>
      <w:pPr>
        <w:pageBreakBefore w:val="0"/>
        <w:kinsoku/>
        <w:wordWrap/>
        <w:topLinePunct w:val="0"/>
        <w:bidi w:val="0"/>
        <w:spacing w:line="360" w:lineRule="auto"/>
        <w:ind w:left="0" w:leftChars="0" w:right="0"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项目实施过程中，特别是拆迁安置补偿时，因社会舆论、公众不支持等导致项目无法继续实施。主要包括拆迁安置补偿风险、城市规划风险、区域发展风险等。</w:t>
      </w:r>
    </w:p>
    <w:p>
      <w:pPr>
        <w:pageBreakBefore w:val="0"/>
        <w:kinsoku/>
        <w:wordWrap/>
        <w:topLinePunct w:val="0"/>
        <w:bidi w:val="0"/>
        <w:spacing w:line="360" w:lineRule="auto"/>
        <w:ind w:left="0" w:leftChars="0" w:right="0"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风险控制措施：可建立专门的应急组织机构和完善的应急制度，以应对突发性事件对项目建设或运营的影响。</w:t>
      </w:r>
    </w:p>
    <w:p>
      <w:pPr>
        <w:pageBreakBefore w:val="0"/>
        <w:kinsoku/>
        <w:wordWrap/>
        <w:topLinePunct w:val="0"/>
        <w:bidi w:val="0"/>
        <w:spacing w:line="360" w:lineRule="auto"/>
        <w:ind w:left="0" w:leftChars="0" w:right="0"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sz w:val="28"/>
          <w:szCs w:val="28"/>
          <w:lang w:val="en-US" w:eastAsia="zh-CN"/>
        </w:rPr>
        <w:t>6</w:t>
      </w:r>
      <w:r>
        <w:rPr>
          <w:rFonts w:hint="eastAsia" w:ascii="仿宋_GB2312" w:hAnsi="仿宋_GB2312" w:eastAsia="仿宋_GB2312" w:cs="仿宋_GB2312"/>
          <w:color w:val="000000"/>
          <w:sz w:val="28"/>
          <w:szCs w:val="28"/>
        </w:rPr>
        <w:t>)不可抗力风险</w:t>
      </w:r>
    </w:p>
    <w:p>
      <w:pPr>
        <w:pageBreakBefore w:val="0"/>
        <w:kinsoku/>
        <w:wordWrap/>
        <w:topLinePunct w:val="0"/>
        <w:bidi w:val="0"/>
        <w:spacing w:line="360" w:lineRule="auto"/>
        <w:ind w:left="0" w:leftChars="0" w:right="0"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不可抗力风险主要是自然或社会因素对工程建设造成经济上损失。不可抗力包括(但不限于)下列特殊事件或情况：(1)自然灾害：如地震、飓风、台风、火山爆发或水灾等；(2)社会异常事件：如战争、武装冲突、社会动乱、骚乱、罢工、恐怖行为等。</w:t>
      </w:r>
    </w:p>
    <w:p>
      <w:pPr>
        <w:pageBreakBefore w:val="0"/>
        <w:kinsoku/>
        <w:wordWrap/>
        <w:topLinePunct w:val="0"/>
        <w:bidi w:val="0"/>
        <w:spacing w:line="360" w:lineRule="auto"/>
        <w:ind w:left="0" w:leftChars="0" w:right="0"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color w:val="000000"/>
          <w:sz w:val="28"/>
          <w:szCs w:val="28"/>
        </w:rPr>
        <w:t>风险控制措施：通过购买保险和加强项目管理，减少不可抗力对项目影响</w:t>
      </w:r>
      <w:r>
        <w:rPr>
          <w:rFonts w:hint="eastAsia" w:ascii="仿宋_GB2312" w:hAnsi="仿宋_GB2312" w:eastAsia="仿宋_GB2312" w:cs="仿宋_GB2312"/>
          <w:bCs/>
          <w:sz w:val="28"/>
          <w:szCs w:val="28"/>
        </w:rPr>
        <w:t>。</w:t>
      </w:r>
    </w:p>
    <w:p>
      <w:pPr>
        <w:ind w:firstLine="420" w:firstLineChars="150"/>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（二）敏感性分析</w:t>
      </w:r>
    </w:p>
    <w:p>
      <w:pPr>
        <w:ind w:firstLine="560" w:firstLineChars="200"/>
        <w:jc w:val="left"/>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rPr>
        <w:t>鉴于</w:t>
      </w:r>
      <w:r>
        <w:rPr>
          <w:rFonts w:hint="eastAsia" w:ascii="仿宋_GB2312" w:hAnsi="仿宋_GB2312" w:eastAsia="仿宋_GB2312" w:cs="仿宋_GB2312"/>
          <w:color w:val="000000"/>
          <w:sz w:val="28"/>
          <w:szCs w:val="28"/>
          <w:lang w:val="en-US" w:eastAsia="zh-CN"/>
        </w:rPr>
        <w:t>收入、成本</w:t>
      </w:r>
      <w:r>
        <w:rPr>
          <w:rFonts w:hint="eastAsia" w:ascii="仿宋_GB2312" w:hAnsi="仿宋_GB2312" w:eastAsia="仿宋_GB2312" w:cs="仿宋_GB2312"/>
          <w:color w:val="000000"/>
          <w:sz w:val="28"/>
          <w:szCs w:val="28"/>
        </w:rPr>
        <w:t>等因素影响，有必要在一定的变化幅度内对专项债券的资金覆盖率</w:t>
      </w:r>
      <w:r>
        <w:rPr>
          <w:rFonts w:hint="eastAsia" w:ascii="仿宋_GB2312" w:hAnsi="仿宋_GB2312" w:eastAsia="仿宋_GB2312" w:cs="仿宋_GB2312"/>
          <w:color w:val="000000"/>
          <w:sz w:val="28"/>
          <w:szCs w:val="28"/>
          <w:highlight w:val="none"/>
        </w:rPr>
        <w:t>进行敏感性（压力测试）分析评估。</w:t>
      </w:r>
    </w:p>
    <w:p>
      <w:pPr>
        <w:ind w:firstLine="420" w:firstLineChars="150"/>
        <w:jc w:val="center"/>
        <w:outlineLvl w:val="1"/>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项目收益与融资自求平衡的压力测试表</w:t>
      </w:r>
    </w:p>
    <w:tbl>
      <w:tblPr>
        <w:tblStyle w:val="21"/>
        <w:tblW w:w="855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76"/>
        <w:gridCol w:w="1026"/>
        <w:gridCol w:w="1026"/>
        <w:gridCol w:w="1026"/>
        <w:gridCol w:w="1026"/>
        <w:gridCol w:w="1026"/>
        <w:gridCol w:w="1026"/>
        <w:gridCol w:w="10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150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敏感性分析</w:t>
            </w:r>
          </w:p>
        </w:tc>
        <w:tc>
          <w:tcPr>
            <w:tcW w:w="7059" w:type="dxa"/>
            <w:gridSpan w:val="7"/>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敏感性变化比率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04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104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104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w:t>
            </w:r>
          </w:p>
        </w:tc>
        <w:tc>
          <w:tcPr>
            <w:tcW w:w="96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96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96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偿债资金合计</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135578.61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143553.83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151529.04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159504.25 </w:t>
            </w:r>
          </w:p>
        </w:tc>
        <w:tc>
          <w:tcPr>
            <w:tcW w:w="96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167479.46 </w:t>
            </w:r>
          </w:p>
        </w:tc>
        <w:tc>
          <w:tcPr>
            <w:tcW w:w="96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175454.68 </w:t>
            </w:r>
          </w:p>
        </w:tc>
        <w:tc>
          <w:tcPr>
            <w:tcW w:w="96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183429.89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债券还本付息额</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26400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26400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26400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26400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26400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26400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债券利息总额</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债券本金</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20000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20000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20000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20000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20000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20000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债券本息覆盖率</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5.14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5.44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5.74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6.04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6.34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6.65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6.95 </w:t>
            </w:r>
          </w:p>
        </w:tc>
      </w:tr>
    </w:tbl>
    <w:p>
      <w:pPr>
        <w:ind w:firstLine="420" w:firstLineChars="15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根据本项目收益与融资自求平衡的压力测试结果，当经营净收益作为影响债券还本付息的因素在±15%范围内变动的情况下，专项债券本息覆盖倍数仍然＞1，还本付息资金具有一定的稳定性与较强的风险抵抗能力。</w:t>
      </w:r>
    </w:p>
    <w:p>
      <w:pPr>
        <w:ind w:firstLine="562" w:firstLineChars="200"/>
        <w:outlineLvl w:val="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十、</w:t>
      </w:r>
      <w:r>
        <w:rPr>
          <w:rFonts w:hint="eastAsia" w:ascii="仿宋_GB2312" w:hAnsi="仿宋_GB2312" w:eastAsia="仿宋_GB2312" w:cs="仿宋_GB2312"/>
          <w:b/>
          <w:bCs/>
          <w:sz w:val="28"/>
          <w:szCs w:val="28"/>
        </w:rPr>
        <w:t>投资者保护措施（还款保障计划）</w:t>
      </w:r>
    </w:p>
    <w:p>
      <w:pPr>
        <w:ind w:firstLine="420" w:firstLineChars="15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2015年起，财政部实施政府债务限额管理，制定了《关于对地方政府债务实行限额管理的实施意见》，河北省政府及时将债务限额向省人大常委会提起审议，研究限额分配方案下达市、县，要求市县政府举债不得突破批准的限额，确需举债的，依照批准的限额提出本地区当年政府债务举借和使用计划，列入预算调整方案，报本级人大常委会批准，报省政府备案，并由省政府代为举借。</w:t>
      </w:r>
      <w:r>
        <w:rPr>
          <w:rFonts w:hint="eastAsia" w:ascii="仿宋_GB2312" w:hAnsi="仿宋_GB2312" w:eastAsia="仿宋_GB2312" w:cs="仿宋_GB2312"/>
          <w:color w:val="000000"/>
          <w:sz w:val="28"/>
          <w:szCs w:val="28"/>
          <w:lang w:val="en-US" w:eastAsia="zh-CN"/>
        </w:rPr>
        <w:t>武安市</w:t>
      </w:r>
      <w:r>
        <w:rPr>
          <w:rFonts w:hint="eastAsia" w:ascii="仿宋_GB2312" w:hAnsi="仿宋_GB2312" w:eastAsia="仿宋_GB2312" w:cs="仿宋_GB2312"/>
          <w:color w:val="000000"/>
          <w:sz w:val="28"/>
          <w:szCs w:val="28"/>
        </w:rPr>
        <w:t>建立跨年度预算平衡机制，加强一般公共预算、政府性基金预算，国有资本经营预算体系的统筹力度，强化对项目资本的管理，加快专项资金清理，归并和整合力度，建立债务项目全生命周期偿债计划，分层次编制政府债务偿还规划和年度计划，建立健全政府债务滚动偿还方案，做好分年度的债务还本付息预算安排工作，加大预算统筹力度，多渠道多角度全方位筹集资金偿还到期债务。</w:t>
      </w:r>
      <w:r>
        <w:rPr>
          <w:rFonts w:hint="eastAsia" w:ascii="仿宋_GB2312" w:hAnsi="仿宋_GB2312" w:eastAsia="仿宋_GB2312" w:cs="仿宋_GB2312"/>
          <w:color w:val="000000"/>
          <w:sz w:val="28"/>
          <w:szCs w:val="28"/>
          <w:lang w:eastAsia="zh-CN"/>
        </w:rPr>
        <w:t>武安市</w:t>
      </w:r>
      <w:r>
        <w:rPr>
          <w:rFonts w:hint="eastAsia" w:ascii="仿宋_GB2312" w:hAnsi="仿宋_GB2312" w:eastAsia="仿宋_GB2312" w:cs="仿宋_GB2312"/>
          <w:color w:val="000000"/>
          <w:sz w:val="28"/>
          <w:szCs w:val="28"/>
        </w:rPr>
        <w:t>政府高度重视政府债务风险防范，积极配合省政府督导，并加强自我防控，牢牢守住不发生区域性、系统性风险底线。</w:t>
      </w:r>
    </w:p>
    <w:p>
      <w:pPr>
        <w:ind w:firstLine="562" w:firstLineChars="200"/>
        <w:outlineLvl w:val="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十一</w:t>
      </w:r>
      <w:r>
        <w:rPr>
          <w:rFonts w:hint="eastAsia" w:ascii="仿宋_GB2312" w:hAnsi="仿宋_GB2312" w:eastAsia="仿宋_GB2312" w:cs="仿宋_GB2312"/>
          <w:b/>
          <w:bCs/>
          <w:sz w:val="28"/>
          <w:szCs w:val="28"/>
        </w:rPr>
        <w:t>、信息披露计划及主管部门责任</w:t>
      </w:r>
    </w:p>
    <w:p>
      <w:pPr>
        <w:ind w:firstLine="560" w:firstLineChars="200"/>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（一）信息披露计划</w:t>
      </w:r>
    </w:p>
    <w:p>
      <w:pPr>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按照《财政部关于试点发展项目收益与融资自求平衡的地方政府专项债券品种的通知》（财预〔2017〕89号）的要求，明确了推进债券信息公开的工作：财政部门应当在门户网站等及时披露专项债券对应的项目概况、项目预期收益和融资平衡方案、专项债券规模和期限、发行计划安排、还本付息等信息。行业主管部门和项目单位应当及时披露项目进度、专项债券资金使用情况等信息。</w:t>
      </w:r>
    </w:p>
    <w:p>
      <w:pPr>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《地方政府债务信息公开办法（试行）》（财预〔2018〕209号）规定，县级以上地方各级财政部门（以下简称“地方各级财政部门”）应当随同预决算公开地方政府债务限额、余额、使用安排及还本付息等信息。</w:t>
      </w:r>
    </w:p>
    <w:p>
      <w:pPr>
        <w:numPr>
          <w:ilvl w:val="0"/>
          <w:numId w:val="6"/>
        </w:numPr>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随同预算公开上一年度本地区、本级及所属地区地方政府债务限额及余额（或余额预计执行数），以及本地区和本级上一年度地方政府债券（含再融资债券）发行及还本付息额（或预计执行数）、本年度地方政府债券还本付息预算数等。</w:t>
      </w:r>
    </w:p>
    <w:p>
      <w:pPr>
        <w:numPr>
          <w:ilvl w:val="0"/>
          <w:numId w:val="6"/>
        </w:numPr>
        <w:ind w:left="0" w:leftChars="0"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随同调整预算公开当年本地区及本级地方政府债务限额、本级新增地方政府债券资金使用安排等。</w:t>
      </w:r>
    </w:p>
    <w:p>
      <w:pPr>
        <w:numPr>
          <w:ilvl w:val="0"/>
          <w:numId w:val="6"/>
        </w:numPr>
        <w:ind w:left="0" w:leftChars="0"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随同决算公开上年末本地区、本级及所属地区地方政府债务限额、余额决算数，地方政府债券发行、还本付息决算数，以及债券资金使用安排等。 </w:t>
      </w:r>
    </w:p>
    <w:p>
      <w:pPr>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highlight w:val="none"/>
          <w:lang w:eastAsia="zh-CN"/>
        </w:rPr>
        <w:t>武安市</w:t>
      </w:r>
      <w:r>
        <w:rPr>
          <w:rFonts w:hint="eastAsia" w:ascii="仿宋_GB2312" w:hAnsi="仿宋_GB2312" w:eastAsia="仿宋_GB2312" w:cs="仿宋_GB2312"/>
          <w:color w:val="000000"/>
          <w:sz w:val="28"/>
          <w:szCs w:val="28"/>
        </w:rPr>
        <w:t>财政局及项目主管部门将按照上述文件要求以及省财政厅的要求，定期上报专项债券跟踪评级等，切实做好信息披露工作。</w:t>
      </w:r>
    </w:p>
    <w:p>
      <w:pPr>
        <w:ind w:firstLine="560" w:firstLineChars="200"/>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（二）主管部门责任</w:t>
      </w:r>
    </w:p>
    <w:p>
      <w:pPr>
        <w:ind w:firstLine="560" w:firstLineChars="200"/>
        <w:outlineLvl w:val="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1.</w:t>
      </w:r>
      <w:r>
        <w:rPr>
          <w:rFonts w:hint="eastAsia" w:ascii="仿宋_GB2312" w:hAnsi="仿宋_GB2312" w:eastAsia="仿宋_GB2312" w:cs="仿宋_GB2312"/>
          <w:color w:val="000000"/>
          <w:sz w:val="28"/>
          <w:szCs w:val="28"/>
          <w:highlight w:val="none"/>
          <w:lang w:eastAsia="zh-CN"/>
        </w:rPr>
        <w:t>河北武安工业园区管理委员会</w:t>
      </w:r>
      <w:r>
        <w:rPr>
          <w:rFonts w:hint="eastAsia" w:ascii="仿宋_GB2312" w:hAnsi="仿宋_GB2312" w:eastAsia="仿宋_GB2312" w:cs="仿宋_GB2312"/>
          <w:color w:val="000000"/>
          <w:sz w:val="28"/>
          <w:szCs w:val="28"/>
          <w:highlight w:val="none"/>
        </w:rPr>
        <w:t>部门责任</w:t>
      </w:r>
    </w:p>
    <w:p>
      <w:pPr>
        <w:ind w:firstLine="560" w:firstLineChars="200"/>
        <w:outlineLvl w:val="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本项目的实施主体为</w:t>
      </w:r>
      <w:r>
        <w:rPr>
          <w:rFonts w:hint="eastAsia" w:ascii="仿宋_GB2312" w:hAnsi="仿宋_GB2312" w:eastAsia="仿宋_GB2312" w:cs="仿宋_GB2312"/>
          <w:color w:val="000000"/>
          <w:sz w:val="28"/>
          <w:szCs w:val="28"/>
          <w:highlight w:val="none"/>
          <w:lang w:eastAsia="zh-CN"/>
        </w:rPr>
        <w:t>河北武安工业园区管理委员会，</w:t>
      </w:r>
      <w:r>
        <w:rPr>
          <w:rFonts w:hint="eastAsia" w:ascii="仿宋_GB2312" w:hAnsi="仿宋_GB2312" w:eastAsia="仿宋_GB2312" w:cs="仿宋_GB2312"/>
          <w:color w:val="000000"/>
          <w:sz w:val="28"/>
          <w:szCs w:val="28"/>
          <w:highlight w:val="none"/>
        </w:rPr>
        <w:t>对项目的建设和整体运营发挥重要管理职能。</w:t>
      </w:r>
      <w:r>
        <w:rPr>
          <w:rFonts w:hint="eastAsia" w:ascii="仿宋_GB2312" w:hAnsi="仿宋_GB2312" w:eastAsia="仿宋_GB2312" w:cs="仿宋_GB2312"/>
          <w:color w:val="000000"/>
          <w:sz w:val="28"/>
          <w:szCs w:val="28"/>
          <w:highlight w:val="none"/>
          <w:lang w:val="en-US" w:eastAsia="zh-CN"/>
        </w:rPr>
        <w:t>项目执行主体为</w:t>
      </w:r>
      <w:r>
        <w:rPr>
          <w:rFonts w:hint="eastAsia" w:ascii="仿宋_GB2312" w:hAnsi="仿宋_GB2312" w:eastAsia="仿宋_GB2312" w:cs="仿宋_GB2312"/>
          <w:color w:val="000000"/>
          <w:sz w:val="28"/>
          <w:szCs w:val="28"/>
          <w:highlight w:val="none"/>
          <w:lang w:eastAsia="zh-CN"/>
        </w:rPr>
        <w:t>河北武安工业园区管理委员会</w:t>
      </w:r>
      <w:r>
        <w:rPr>
          <w:rFonts w:hint="eastAsia" w:ascii="仿宋_GB2312" w:hAnsi="仿宋_GB2312" w:eastAsia="仿宋_GB2312" w:cs="仿宋_GB2312"/>
          <w:color w:val="000000"/>
          <w:sz w:val="28"/>
          <w:szCs w:val="28"/>
          <w:highlight w:val="none"/>
        </w:rPr>
        <w:t>，</w:t>
      </w:r>
      <w:r>
        <w:rPr>
          <w:rFonts w:hint="eastAsia" w:ascii="仿宋_GB2312" w:hAnsi="仿宋_GB2312" w:eastAsia="仿宋_GB2312" w:cs="仿宋_GB2312"/>
          <w:color w:val="000000"/>
          <w:sz w:val="28"/>
          <w:szCs w:val="28"/>
          <w:highlight w:val="none"/>
          <w:lang w:eastAsia="zh-CN"/>
        </w:rPr>
        <w:t>河北武安工业园区管理委员会</w:t>
      </w:r>
      <w:r>
        <w:rPr>
          <w:rFonts w:hint="eastAsia" w:ascii="仿宋_GB2312" w:hAnsi="仿宋_GB2312" w:eastAsia="仿宋_GB2312" w:cs="仿宋_GB2312"/>
          <w:color w:val="000000"/>
          <w:sz w:val="28"/>
          <w:szCs w:val="28"/>
          <w:highlight w:val="none"/>
        </w:rPr>
        <w:t>高度重视发债项目的过程化管理，定期对项目的建设运营进度进行监督，确保落实项目债券资金年度内支出，形成实物工作量。</w:t>
      </w:r>
      <w:r>
        <w:rPr>
          <w:rFonts w:hint="eastAsia" w:ascii="仿宋_GB2312" w:hAnsi="仿宋_GB2312" w:eastAsia="仿宋_GB2312" w:cs="仿宋_GB2312"/>
          <w:color w:val="000000"/>
          <w:sz w:val="28"/>
          <w:szCs w:val="28"/>
          <w:highlight w:val="none"/>
          <w:lang w:eastAsia="zh-CN"/>
        </w:rPr>
        <w:t>河北武安工业园区管理委员会</w:t>
      </w:r>
      <w:r>
        <w:rPr>
          <w:rFonts w:hint="eastAsia" w:ascii="仿宋_GB2312" w:hAnsi="仿宋_GB2312" w:eastAsia="仿宋_GB2312" w:cs="仿宋_GB2312"/>
          <w:color w:val="000000"/>
          <w:sz w:val="28"/>
          <w:szCs w:val="28"/>
          <w:highlight w:val="none"/>
        </w:rPr>
        <w:t>对项目信息的真实性、准确性、完整性负责，确保资金用于对应项目，并实现项目收益与融资平衡。</w:t>
      </w:r>
    </w:p>
    <w:p>
      <w:pPr>
        <w:ind w:firstLine="560" w:firstLineChars="200"/>
        <w:outlineLvl w:val="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2.资产管理部门责任</w:t>
      </w:r>
    </w:p>
    <w:p>
      <w:pPr>
        <w:ind w:firstLine="560" w:firstLineChars="200"/>
        <w:outlineLvl w:val="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资产管理部门</w:t>
      </w:r>
      <w:r>
        <w:rPr>
          <w:rFonts w:hint="eastAsia" w:ascii="仿宋_GB2312" w:hAnsi="仿宋_GB2312" w:eastAsia="仿宋_GB2312" w:cs="仿宋_GB2312"/>
          <w:color w:val="000000"/>
          <w:sz w:val="28"/>
          <w:szCs w:val="28"/>
          <w:highlight w:val="none"/>
          <w:lang w:eastAsia="zh-CN"/>
        </w:rPr>
        <w:t>河北武安工业园区管理委员会</w:t>
      </w:r>
      <w:r>
        <w:rPr>
          <w:rFonts w:hint="eastAsia" w:ascii="仿宋_GB2312" w:hAnsi="仿宋_GB2312" w:eastAsia="仿宋_GB2312" w:cs="仿宋_GB2312"/>
          <w:color w:val="000000"/>
          <w:sz w:val="28"/>
          <w:szCs w:val="28"/>
          <w:highlight w:val="none"/>
        </w:rPr>
        <w:t>做好资产管理工作，加强资产日常统计和动态监控，认真履行资产运营维护责任，做好资产的会计核算管理工作，确保发债项目不改变使用用途，不用于质押、抵押。</w:t>
      </w:r>
    </w:p>
    <w:p>
      <w:pPr>
        <w:ind w:firstLine="560" w:firstLineChars="200"/>
        <w:outlineLvl w:val="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3.本级政府责任</w:t>
      </w:r>
    </w:p>
    <w:p>
      <w:pPr>
        <w:ind w:firstLine="560" w:firstLineChars="200"/>
        <w:outlineLvl w:val="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highlight w:val="none"/>
          <w:lang w:val="en-US" w:eastAsia="zh-CN"/>
        </w:rPr>
        <w:t>武安市政府</w:t>
      </w:r>
      <w:r>
        <w:rPr>
          <w:rFonts w:hint="eastAsia" w:ascii="仿宋_GB2312" w:hAnsi="仿宋_GB2312" w:eastAsia="仿宋_GB2312" w:cs="仿宋_GB2312"/>
          <w:color w:val="000000"/>
          <w:sz w:val="28"/>
          <w:szCs w:val="28"/>
          <w:highlight w:val="none"/>
        </w:rPr>
        <w:t>高度重视政府性债务管理工作，积极采取有效措施完善相关制度，有效防范地方金融债务风险，将积极培植财源，加强税</w:t>
      </w:r>
      <w:r>
        <w:rPr>
          <w:rFonts w:hint="eastAsia" w:ascii="仿宋_GB2312" w:hAnsi="仿宋_GB2312" w:eastAsia="仿宋_GB2312" w:cs="仿宋_GB2312"/>
          <w:color w:val="000000"/>
          <w:sz w:val="28"/>
          <w:szCs w:val="28"/>
        </w:rPr>
        <w:t>收征管，认真清缴欠税，堵塞税收漏洞，实现收入稳步增长，以提高可偿债财力，缓解偿债压力。</w:t>
      </w:r>
      <w:r>
        <w:rPr>
          <w:rFonts w:hint="eastAsia" w:ascii="仿宋_GB2312" w:hAnsi="仿宋_GB2312" w:eastAsia="仿宋_GB2312" w:cs="仿宋_GB2312"/>
          <w:color w:val="000000"/>
          <w:sz w:val="28"/>
          <w:szCs w:val="28"/>
          <w:highlight w:val="none"/>
          <w:lang w:val="en-US" w:eastAsia="zh-CN"/>
        </w:rPr>
        <w:t>武安市</w:t>
      </w:r>
      <w:r>
        <w:rPr>
          <w:rFonts w:hint="eastAsia" w:ascii="仿宋_GB2312" w:hAnsi="仿宋_GB2312" w:eastAsia="仿宋_GB2312" w:cs="仿宋_GB2312"/>
          <w:color w:val="000000"/>
          <w:sz w:val="28"/>
          <w:szCs w:val="28"/>
        </w:rPr>
        <w:t>将积极推进政府债务风险防控工作科学化、精细化，以切实防范和化解债务风险，并严格债务资金管理，合理控制债务规模，政府性债务风险总体可控。</w:t>
      </w:r>
    </w:p>
    <w:p>
      <w:pPr>
        <w:ind w:firstLine="562" w:firstLineChars="200"/>
        <w:outlineLvl w:val="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十二</w:t>
      </w:r>
      <w:r>
        <w:rPr>
          <w:rFonts w:hint="eastAsia" w:ascii="仿宋_GB2312" w:hAnsi="仿宋_GB2312" w:eastAsia="仿宋_GB2312" w:cs="仿宋_GB2312"/>
          <w:b/>
          <w:bCs/>
          <w:sz w:val="28"/>
          <w:szCs w:val="28"/>
        </w:rPr>
        <w:t>、编制文件依据</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（一）相关法律规定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1.中华人民共和国预算法（201</w:t>
      </w:r>
      <w:r>
        <w:rPr>
          <w:rFonts w:hint="eastAsia" w:ascii="仿宋_GB2312" w:hAnsi="仿宋_GB2312" w:eastAsia="仿宋_GB2312" w:cs="仿宋_GB2312"/>
          <w:sz w:val="28"/>
          <w:szCs w:val="28"/>
          <w:lang w:val="en-US" w:eastAsia="zh-CN"/>
        </w:rPr>
        <w:t>8</w:t>
      </w:r>
      <w:r>
        <w:rPr>
          <w:rFonts w:hint="eastAsia" w:ascii="仿宋_GB2312" w:hAnsi="仿宋_GB2312" w:eastAsia="仿宋_GB2312" w:cs="仿宋_GB2312"/>
          <w:sz w:val="28"/>
          <w:szCs w:val="28"/>
        </w:rPr>
        <w:t>修正）</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2.中华人民共和国证券法（20</w:t>
      </w:r>
      <w:r>
        <w:rPr>
          <w:rFonts w:hint="eastAsia" w:ascii="仿宋_GB2312" w:hAnsi="仿宋_GB2312" w:eastAsia="仿宋_GB2312" w:cs="仿宋_GB2312"/>
          <w:sz w:val="28"/>
          <w:szCs w:val="28"/>
          <w:lang w:val="en-US" w:eastAsia="zh-CN"/>
        </w:rPr>
        <w:t>22</w:t>
      </w:r>
      <w:r>
        <w:rPr>
          <w:rFonts w:hint="eastAsia" w:ascii="仿宋_GB2312" w:hAnsi="仿宋_GB2312" w:eastAsia="仿宋_GB2312" w:cs="仿宋_GB2312"/>
          <w:sz w:val="28"/>
          <w:szCs w:val="28"/>
        </w:rPr>
        <w:t>修正）</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3.国务院关于加强地方政府性债务管理的意见</w:t>
      </w:r>
      <w:r>
        <w:rPr>
          <w:rFonts w:hint="eastAsia" w:ascii="仿宋_GB2312" w:hAnsi="仿宋_GB2312" w:eastAsia="仿宋_GB2312" w:cs="仿宋_GB2312"/>
          <w:sz w:val="28"/>
          <w:szCs w:val="28"/>
        </w:rPr>
        <w:tab/>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（二）财政部相关规定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1.财政部关于印发《地方政府专项债券发行管理暂行办法》的通知</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2.关于对地方政府债务实行限额管理的实施意见</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3.关于印发《地方政府专项债务预算管理办法》的通知</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4.关于进一步规范地方政府举债融资行为的通知</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5.关于坚决制止地方以政府购买服务名义违法违规融资的通知</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6.关于试点发展项目收益与融资自求平衡的地方政府专项债券品种的通知</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rPr>
        <w:t>.关于规范金融企业对地方政府和国有企业投融资行为有关问题的通知</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8</w:t>
      </w:r>
      <w:r>
        <w:rPr>
          <w:rFonts w:hint="eastAsia" w:ascii="仿宋_GB2312" w:hAnsi="仿宋_GB2312" w:eastAsia="仿宋_GB2312" w:cs="仿宋_GB2312"/>
          <w:sz w:val="28"/>
          <w:szCs w:val="28"/>
        </w:rPr>
        <w:t>.财政部关于做好地方政府专项债券发行工作的意见</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（三）河北省相关规定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1.河北省人民政府关于深化政府性债务管理改革的意见</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.《河北省政府性债务风险应急处置预案》</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.《河北省省级政府性债务风险防控工作方案》</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.《非政府债券形式存量政府债务分类处置方案》</w:t>
      </w:r>
    </w:p>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PMingLiU">
    <w:altName w:val="PMingLiU-ExtB"/>
    <w:panose1 w:val="02020500000000000000"/>
    <w:charset w:val="88"/>
    <w:family w:val="roman"/>
    <w:pitch w:val="default"/>
    <w:sig w:usb0="00000000" w:usb1="00000000" w:usb2="00000016" w:usb3="00000000" w:csb0="0010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PMingLiU-ExtB">
    <w:panose1 w:val="02020500000000000000"/>
    <w:charset w:val="88"/>
    <w:family w:val="auto"/>
    <w:pitch w:val="default"/>
    <w:sig w:usb0="8000002F" w:usb1="02000008" w:usb2="00000000" w:usb3="00000000" w:csb0="00100001" w:csb1="00000000"/>
  </w:font>
  <w:font w:name="楷体">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ascii="Times New Roman" w:hAnsi="Times New Roman" w:cs="Times New Roman"/>
      </w:rPr>
    </w:pPr>
  </w:p>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114300" distR="114300" simplePos="0" relativeHeight="251659264" behindDoc="1" locked="0" layoutInCell="1" allowOverlap="1">
              <wp:simplePos x="0" y="0"/>
              <wp:positionH relativeFrom="page">
                <wp:posOffset>1120775</wp:posOffset>
              </wp:positionH>
              <wp:positionV relativeFrom="page">
                <wp:posOffset>706120</wp:posOffset>
              </wp:positionV>
              <wp:extent cx="5355590" cy="0"/>
              <wp:effectExtent l="0" t="0" r="0" b="0"/>
              <wp:wrapNone/>
              <wp:docPr id="28" name="Shape 28"/>
              <wp:cNvGraphicFramePr/>
              <a:graphic xmlns:a="http://schemas.openxmlformats.org/drawingml/2006/main">
                <a:graphicData uri="http://schemas.microsoft.com/office/word/2010/wordprocessingShape">
                  <wps:wsp>
                    <wps:cNvCnPr/>
                    <wps:spPr>
                      <a:xfrm>
                        <a:off x="0" y="0"/>
                        <a:ext cx="5355590" cy="0"/>
                      </a:xfrm>
                      <a:prstGeom prst="straightConnector1">
                        <a:avLst/>
                      </a:prstGeom>
                      <a:ln w="12700">
                        <a:solidFill>
                          <a:srgbClr val="FFFFFF"/>
                        </a:solidFill>
                      </a:ln>
                    </wps:spPr>
                    <wps:bodyPr/>
                  </wps:wsp>
                </a:graphicData>
              </a:graphic>
            </wp:anchor>
          </w:drawing>
        </mc:Choice>
        <mc:Fallback>
          <w:pict>
            <v:shape id="Shape 28" o:spid="_x0000_s1026" o:spt="32" type="#_x0000_t32" style="position:absolute;left:0pt;margin-left:88.25pt;margin-top:55.6pt;height:0pt;width:421.7pt;mso-position-horizontal-relative:page;mso-position-vertical-relative:page;z-index:-251657216;mso-width-relative:page;mso-height-relative:page;" filled="f" stroked="t" coordsize="21600,21600" o:gfxdata="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PXtFoLXAAAADAEAAA8A&#10;AAAAAAAAAQAgAAAAIgAAAGRycy9kb3ducmV2LnhtbFBLAQIUABQAAAAIAIdO4kDqNvWWpgEAAFwD&#10;AAAOAAAAAAAAAAEAIAAAACYBAABkcnMvZTJvRG9jLnhtbFBLBQYAAAAABgAGAFkBAAA+BQAAAAA=&#10;">
              <v:fill on="f" focussize="0,0"/>
              <v:stroke weight="1pt" color="#FFFFFF" joinstyle="round"/>
              <v:imagedata o:title=""/>
              <o:lock v:ext="edit" aspectratio="f"/>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AD0F1D"/>
    <w:multiLevelType w:val="singleLevel"/>
    <w:tmpl w:val="F2AD0F1D"/>
    <w:lvl w:ilvl="0" w:tentative="0">
      <w:start w:val="4"/>
      <w:numFmt w:val="decimal"/>
      <w:suff w:val="nothing"/>
      <w:lvlText w:val="%1、"/>
      <w:lvlJc w:val="left"/>
    </w:lvl>
  </w:abstractNum>
  <w:abstractNum w:abstractNumId="1">
    <w:nsid w:val="0CB5E955"/>
    <w:multiLevelType w:val="singleLevel"/>
    <w:tmpl w:val="0CB5E955"/>
    <w:lvl w:ilvl="0" w:tentative="0">
      <w:start w:val="8"/>
      <w:numFmt w:val="decimal"/>
      <w:suff w:val="nothing"/>
      <w:lvlText w:val="%1、"/>
      <w:lvlJc w:val="left"/>
    </w:lvl>
  </w:abstractNum>
  <w:abstractNum w:abstractNumId="2">
    <w:nsid w:val="31C6248B"/>
    <w:multiLevelType w:val="singleLevel"/>
    <w:tmpl w:val="31C6248B"/>
    <w:lvl w:ilvl="0" w:tentative="0">
      <w:start w:val="1"/>
      <w:numFmt w:val="decimal"/>
      <w:suff w:val="nothing"/>
      <w:lvlText w:val="%1、"/>
      <w:lvlJc w:val="left"/>
    </w:lvl>
  </w:abstractNum>
  <w:abstractNum w:abstractNumId="3">
    <w:nsid w:val="5D046202"/>
    <w:multiLevelType w:val="singleLevel"/>
    <w:tmpl w:val="5D046202"/>
    <w:lvl w:ilvl="0" w:tentative="0">
      <w:start w:val="2"/>
      <w:numFmt w:val="chineseCounting"/>
      <w:suff w:val="nothing"/>
      <w:lvlText w:val="（%1）"/>
      <w:lvlJc w:val="left"/>
      <w:pPr>
        <w:ind w:left="70"/>
      </w:pPr>
    </w:lvl>
  </w:abstractNum>
  <w:abstractNum w:abstractNumId="4">
    <w:nsid w:val="7028B03F"/>
    <w:multiLevelType w:val="singleLevel"/>
    <w:tmpl w:val="7028B03F"/>
    <w:lvl w:ilvl="0" w:tentative="0">
      <w:start w:val="1"/>
      <w:numFmt w:val="decimal"/>
      <w:suff w:val="nothing"/>
      <w:lvlText w:val="%1、"/>
      <w:lvlJc w:val="left"/>
    </w:lvl>
  </w:abstractNum>
  <w:abstractNum w:abstractNumId="5">
    <w:nsid w:val="7F508502"/>
    <w:multiLevelType w:val="singleLevel"/>
    <w:tmpl w:val="7F508502"/>
    <w:lvl w:ilvl="0" w:tentative="0">
      <w:start w:val="2"/>
      <w:numFmt w:val="decimal"/>
      <w:suff w:val="nothing"/>
      <w:lvlText w:val="%1、"/>
      <w:lvlJc w:val="left"/>
    </w:lvl>
  </w:abstractNum>
  <w:num w:numId="1">
    <w:abstractNumId w:val="1"/>
  </w:num>
  <w:num w:numId="2">
    <w:abstractNumId w:val="3"/>
  </w:num>
  <w:num w:numId="3">
    <w:abstractNumId w:val="4"/>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lOGQwNTc2ZTc2YjhiYjQ1ODQzMmI5MjkzOGQ1NmQifQ=="/>
  </w:docVars>
  <w:rsids>
    <w:rsidRoot w:val="00DC7C2B"/>
    <w:rsid w:val="00002FA6"/>
    <w:rsid w:val="0000362B"/>
    <w:rsid w:val="00015CDA"/>
    <w:rsid w:val="00016C3B"/>
    <w:rsid w:val="000179A2"/>
    <w:rsid w:val="000201EC"/>
    <w:rsid w:val="00021563"/>
    <w:rsid w:val="000230E7"/>
    <w:rsid w:val="0002457B"/>
    <w:rsid w:val="000266D0"/>
    <w:rsid w:val="0003052A"/>
    <w:rsid w:val="00030790"/>
    <w:rsid w:val="000307E9"/>
    <w:rsid w:val="000319CB"/>
    <w:rsid w:val="00034ABA"/>
    <w:rsid w:val="00036734"/>
    <w:rsid w:val="00036F23"/>
    <w:rsid w:val="0003723B"/>
    <w:rsid w:val="000415CD"/>
    <w:rsid w:val="00042081"/>
    <w:rsid w:val="00046AC3"/>
    <w:rsid w:val="00046C19"/>
    <w:rsid w:val="00046F2F"/>
    <w:rsid w:val="00050739"/>
    <w:rsid w:val="000525F9"/>
    <w:rsid w:val="00052F40"/>
    <w:rsid w:val="000533ED"/>
    <w:rsid w:val="000541F4"/>
    <w:rsid w:val="00054664"/>
    <w:rsid w:val="00057E93"/>
    <w:rsid w:val="0006223C"/>
    <w:rsid w:val="00062B9D"/>
    <w:rsid w:val="00063D3B"/>
    <w:rsid w:val="00070EE1"/>
    <w:rsid w:val="000725C6"/>
    <w:rsid w:val="0007405A"/>
    <w:rsid w:val="00083332"/>
    <w:rsid w:val="00083614"/>
    <w:rsid w:val="000867A8"/>
    <w:rsid w:val="00086AB6"/>
    <w:rsid w:val="0009007D"/>
    <w:rsid w:val="00092B8E"/>
    <w:rsid w:val="00093442"/>
    <w:rsid w:val="00096159"/>
    <w:rsid w:val="0009777A"/>
    <w:rsid w:val="000977DA"/>
    <w:rsid w:val="000A0D88"/>
    <w:rsid w:val="000B34D8"/>
    <w:rsid w:val="000B559E"/>
    <w:rsid w:val="000C33F5"/>
    <w:rsid w:val="000C4C9F"/>
    <w:rsid w:val="000D2C50"/>
    <w:rsid w:val="000D709C"/>
    <w:rsid w:val="000E23AF"/>
    <w:rsid w:val="000E5EB1"/>
    <w:rsid w:val="000F3F78"/>
    <w:rsid w:val="0010123E"/>
    <w:rsid w:val="001074C6"/>
    <w:rsid w:val="00113901"/>
    <w:rsid w:val="00114D83"/>
    <w:rsid w:val="00115153"/>
    <w:rsid w:val="001175B8"/>
    <w:rsid w:val="00121273"/>
    <w:rsid w:val="00123472"/>
    <w:rsid w:val="00127E08"/>
    <w:rsid w:val="00127F9C"/>
    <w:rsid w:val="00130660"/>
    <w:rsid w:val="00134F3E"/>
    <w:rsid w:val="00143973"/>
    <w:rsid w:val="00147635"/>
    <w:rsid w:val="00147BD1"/>
    <w:rsid w:val="00160318"/>
    <w:rsid w:val="00161BFF"/>
    <w:rsid w:val="001646DE"/>
    <w:rsid w:val="00164C43"/>
    <w:rsid w:val="00165AE0"/>
    <w:rsid w:val="00167138"/>
    <w:rsid w:val="00170B58"/>
    <w:rsid w:val="00177097"/>
    <w:rsid w:val="00181F8C"/>
    <w:rsid w:val="00182010"/>
    <w:rsid w:val="001833FF"/>
    <w:rsid w:val="001844C3"/>
    <w:rsid w:val="0018519C"/>
    <w:rsid w:val="00185E17"/>
    <w:rsid w:val="00193694"/>
    <w:rsid w:val="00193A9B"/>
    <w:rsid w:val="00194051"/>
    <w:rsid w:val="001941ED"/>
    <w:rsid w:val="0019462B"/>
    <w:rsid w:val="00195C82"/>
    <w:rsid w:val="001A46B0"/>
    <w:rsid w:val="001B009D"/>
    <w:rsid w:val="001B5916"/>
    <w:rsid w:val="001C3E53"/>
    <w:rsid w:val="001C6845"/>
    <w:rsid w:val="001C74BD"/>
    <w:rsid w:val="001D0816"/>
    <w:rsid w:val="001D4FA1"/>
    <w:rsid w:val="001D69CA"/>
    <w:rsid w:val="001F129E"/>
    <w:rsid w:val="001F182F"/>
    <w:rsid w:val="001F2BA0"/>
    <w:rsid w:val="00201F0C"/>
    <w:rsid w:val="00204CF8"/>
    <w:rsid w:val="00227998"/>
    <w:rsid w:val="00230661"/>
    <w:rsid w:val="00230E31"/>
    <w:rsid w:val="0023587F"/>
    <w:rsid w:val="00235CFE"/>
    <w:rsid w:val="00237531"/>
    <w:rsid w:val="0023764D"/>
    <w:rsid w:val="002400C0"/>
    <w:rsid w:val="00240898"/>
    <w:rsid w:val="00240D96"/>
    <w:rsid w:val="00242447"/>
    <w:rsid w:val="0024278F"/>
    <w:rsid w:val="0024441E"/>
    <w:rsid w:val="00244DBD"/>
    <w:rsid w:val="00246BCA"/>
    <w:rsid w:val="002478BD"/>
    <w:rsid w:val="00250738"/>
    <w:rsid w:val="00253227"/>
    <w:rsid w:val="002543E2"/>
    <w:rsid w:val="00257920"/>
    <w:rsid w:val="0026051E"/>
    <w:rsid w:val="002639F8"/>
    <w:rsid w:val="00263BB7"/>
    <w:rsid w:val="0027586D"/>
    <w:rsid w:val="0028309F"/>
    <w:rsid w:val="00291E47"/>
    <w:rsid w:val="00292C55"/>
    <w:rsid w:val="00292DE1"/>
    <w:rsid w:val="002963E9"/>
    <w:rsid w:val="002B4460"/>
    <w:rsid w:val="002B6970"/>
    <w:rsid w:val="002B6F05"/>
    <w:rsid w:val="002B71C7"/>
    <w:rsid w:val="002C2F8C"/>
    <w:rsid w:val="002C4A71"/>
    <w:rsid w:val="002D0F85"/>
    <w:rsid w:val="002D1F75"/>
    <w:rsid w:val="002D33C1"/>
    <w:rsid w:val="002D36C9"/>
    <w:rsid w:val="002D539C"/>
    <w:rsid w:val="002D5E08"/>
    <w:rsid w:val="002D7574"/>
    <w:rsid w:val="002E1E8D"/>
    <w:rsid w:val="002E6554"/>
    <w:rsid w:val="002F15F7"/>
    <w:rsid w:val="002F321B"/>
    <w:rsid w:val="002F475E"/>
    <w:rsid w:val="002F4833"/>
    <w:rsid w:val="002F5FE0"/>
    <w:rsid w:val="00304A45"/>
    <w:rsid w:val="003106E2"/>
    <w:rsid w:val="0031087C"/>
    <w:rsid w:val="0032010A"/>
    <w:rsid w:val="00322C51"/>
    <w:rsid w:val="00324FAA"/>
    <w:rsid w:val="00332E43"/>
    <w:rsid w:val="003344A6"/>
    <w:rsid w:val="00337210"/>
    <w:rsid w:val="00341190"/>
    <w:rsid w:val="00341282"/>
    <w:rsid w:val="003510D2"/>
    <w:rsid w:val="003543DA"/>
    <w:rsid w:val="003601FE"/>
    <w:rsid w:val="00361185"/>
    <w:rsid w:val="00373E6D"/>
    <w:rsid w:val="00377FB1"/>
    <w:rsid w:val="00380B04"/>
    <w:rsid w:val="00386702"/>
    <w:rsid w:val="00390080"/>
    <w:rsid w:val="0039255C"/>
    <w:rsid w:val="00394BC0"/>
    <w:rsid w:val="003A0178"/>
    <w:rsid w:val="003A0357"/>
    <w:rsid w:val="003A2C2B"/>
    <w:rsid w:val="003A48C4"/>
    <w:rsid w:val="003A7092"/>
    <w:rsid w:val="003B132F"/>
    <w:rsid w:val="003B7F3F"/>
    <w:rsid w:val="003D25FD"/>
    <w:rsid w:val="003D62D8"/>
    <w:rsid w:val="003E264E"/>
    <w:rsid w:val="003E6597"/>
    <w:rsid w:val="003E7102"/>
    <w:rsid w:val="003F0E5B"/>
    <w:rsid w:val="003F1F61"/>
    <w:rsid w:val="003F3342"/>
    <w:rsid w:val="003F6327"/>
    <w:rsid w:val="003F7D16"/>
    <w:rsid w:val="004036F8"/>
    <w:rsid w:val="004073C8"/>
    <w:rsid w:val="00410DC1"/>
    <w:rsid w:val="00415C29"/>
    <w:rsid w:val="00416F34"/>
    <w:rsid w:val="0042001D"/>
    <w:rsid w:val="004240D8"/>
    <w:rsid w:val="004257D8"/>
    <w:rsid w:val="00425A0D"/>
    <w:rsid w:val="00431010"/>
    <w:rsid w:val="004310D0"/>
    <w:rsid w:val="0043213B"/>
    <w:rsid w:val="00433713"/>
    <w:rsid w:val="00441DDD"/>
    <w:rsid w:val="004526C4"/>
    <w:rsid w:val="0045594B"/>
    <w:rsid w:val="00460CE1"/>
    <w:rsid w:val="00462E5A"/>
    <w:rsid w:val="004726E9"/>
    <w:rsid w:val="0047361D"/>
    <w:rsid w:val="0047679A"/>
    <w:rsid w:val="0048640A"/>
    <w:rsid w:val="00486ED6"/>
    <w:rsid w:val="004965E9"/>
    <w:rsid w:val="004A57EF"/>
    <w:rsid w:val="004B0EB4"/>
    <w:rsid w:val="004B26F8"/>
    <w:rsid w:val="004C23C8"/>
    <w:rsid w:val="004C382F"/>
    <w:rsid w:val="004C3C57"/>
    <w:rsid w:val="004C66CC"/>
    <w:rsid w:val="004C6C61"/>
    <w:rsid w:val="004D702E"/>
    <w:rsid w:val="004E0C4A"/>
    <w:rsid w:val="004E2797"/>
    <w:rsid w:val="004E347B"/>
    <w:rsid w:val="004E38FA"/>
    <w:rsid w:val="004E6A11"/>
    <w:rsid w:val="004E6CF8"/>
    <w:rsid w:val="004F06E1"/>
    <w:rsid w:val="004F170E"/>
    <w:rsid w:val="004F1EAB"/>
    <w:rsid w:val="004F23BE"/>
    <w:rsid w:val="004F2734"/>
    <w:rsid w:val="004F5768"/>
    <w:rsid w:val="004F7637"/>
    <w:rsid w:val="00507B76"/>
    <w:rsid w:val="005155A0"/>
    <w:rsid w:val="00516989"/>
    <w:rsid w:val="005202CD"/>
    <w:rsid w:val="00520AAA"/>
    <w:rsid w:val="0052205A"/>
    <w:rsid w:val="005249A9"/>
    <w:rsid w:val="00525031"/>
    <w:rsid w:val="00525494"/>
    <w:rsid w:val="005300AB"/>
    <w:rsid w:val="00534475"/>
    <w:rsid w:val="00540CD9"/>
    <w:rsid w:val="00544E45"/>
    <w:rsid w:val="00546EA8"/>
    <w:rsid w:val="005504EC"/>
    <w:rsid w:val="00557549"/>
    <w:rsid w:val="00560EA8"/>
    <w:rsid w:val="0057074B"/>
    <w:rsid w:val="00571116"/>
    <w:rsid w:val="00583580"/>
    <w:rsid w:val="00583DE7"/>
    <w:rsid w:val="00593A58"/>
    <w:rsid w:val="0059676B"/>
    <w:rsid w:val="00596C69"/>
    <w:rsid w:val="005A0346"/>
    <w:rsid w:val="005B5A7E"/>
    <w:rsid w:val="005C785E"/>
    <w:rsid w:val="005C7A23"/>
    <w:rsid w:val="005D2854"/>
    <w:rsid w:val="005D33B9"/>
    <w:rsid w:val="005D3802"/>
    <w:rsid w:val="005D44B6"/>
    <w:rsid w:val="005E0019"/>
    <w:rsid w:val="005E037A"/>
    <w:rsid w:val="005E17A1"/>
    <w:rsid w:val="005E633E"/>
    <w:rsid w:val="005F4E67"/>
    <w:rsid w:val="005F50DB"/>
    <w:rsid w:val="005F5F53"/>
    <w:rsid w:val="00601428"/>
    <w:rsid w:val="006022BF"/>
    <w:rsid w:val="006025D1"/>
    <w:rsid w:val="00610222"/>
    <w:rsid w:val="0061358C"/>
    <w:rsid w:val="00615C99"/>
    <w:rsid w:val="006160B9"/>
    <w:rsid w:val="00617AF4"/>
    <w:rsid w:val="00620DE3"/>
    <w:rsid w:val="006217B2"/>
    <w:rsid w:val="006232F3"/>
    <w:rsid w:val="006236D9"/>
    <w:rsid w:val="006256D4"/>
    <w:rsid w:val="006307A5"/>
    <w:rsid w:val="00632101"/>
    <w:rsid w:val="00633EFD"/>
    <w:rsid w:val="00634549"/>
    <w:rsid w:val="00635B7D"/>
    <w:rsid w:val="00641E02"/>
    <w:rsid w:val="00660C58"/>
    <w:rsid w:val="00662FA7"/>
    <w:rsid w:val="00676559"/>
    <w:rsid w:val="006776D4"/>
    <w:rsid w:val="00677DA2"/>
    <w:rsid w:val="006805DE"/>
    <w:rsid w:val="00681230"/>
    <w:rsid w:val="00681243"/>
    <w:rsid w:val="006826B7"/>
    <w:rsid w:val="00683A5C"/>
    <w:rsid w:val="00685757"/>
    <w:rsid w:val="00687AA3"/>
    <w:rsid w:val="00687D05"/>
    <w:rsid w:val="006933CD"/>
    <w:rsid w:val="00693C21"/>
    <w:rsid w:val="00694670"/>
    <w:rsid w:val="006A0FC4"/>
    <w:rsid w:val="006A3BD4"/>
    <w:rsid w:val="006A6970"/>
    <w:rsid w:val="006B31A2"/>
    <w:rsid w:val="006B791D"/>
    <w:rsid w:val="006B7B11"/>
    <w:rsid w:val="006C5B29"/>
    <w:rsid w:val="006C66EE"/>
    <w:rsid w:val="006D1D1D"/>
    <w:rsid w:val="006D3BBB"/>
    <w:rsid w:val="006E08DC"/>
    <w:rsid w:val="006E0B98"/>
    <w:rsid w:val="006E28FB"/>
    <w:rsid w:val="006E5364"/>
    <w:rsid w:val="006E5F74"/>
    <w:rsid w:val="006E74B4"/>
    <w:rsid w:val="006E7BB6"/>
    <w:rsid w:val="006F1C41"/>
    <w:rsid w:val="006F2582"/>
    <w:rsid w:val="006F4158"/>
    <w:rsid w:val="006F7D08"/>
    <w:rsid w:val="0070154A"/>
    <w:rsid w:val="007050AC"/>
    <w:rsid w:val="00710638"/>
    <w:rsid w:val="007110CD"/>
    <w:rsid w:val="00712595"/>
    <w:rsid w:val="00712EB3"/>
    <w:rsid w:val="00716384"/>
    <w:rsid w:val="007173D3"/>
    <w:rsid w:val="00717804"/>
    <w:rsid w:val="00722A68"/>
    <w:rsid w:val="00730E5E"/>
    <w:rsid w:val="00737428"/>
    <w:rsid w:val="007404C4"/>
    <w:rsid w:val="0074705E"/>
    <w:rsid w:val="00747A58"/>
    <w:rsid w:val="00751688"/>
    <w:rsid w:val="00752B4D"/>
    <w:rsid w:val="00756481"/>
    <w:rsid w:val="00764982"/>
    <w:rsid w:val="007721D1"/>
    <w:rsid w:val="0077537F"/>
    <w:rsid w:val="007754AF"/>
    <w:rsid w:val="0077575F"/>
    <w:rsid w:val="00777BE6"/>
    <w:rsid w:val="007809C8"/>
    <w:rsid w:val="0078515C"/>
    <w:rsid w:val="00787748"/>
    <w:rsid w:val="00791D28"/>
    <w:rsid w:val="007968D6"/>
    <w:rsid w:val="007977E5"/>
    <w:rsid w:val="007A0505"/>
    <w:rsid w:val="007A0CB7"/>
    <w:rsid w:val="007A126D"/>
    <w:rsid w:val="007B0203"/>
    <w:rsid w:val="007B2CD9"/>
    <w:rsid w:val="007C0A84"/>
    <w:rsid w:val="007C1C40"/>
    <w:rsid w:val="007C3C5B"/>
    <w:rsid w:val="007D0CDA"/>
    <w:rsid w:val="007D2677"/>
    <w:rsid w:val="007D4267"/>
    <w:rsid w:val="007D5409"/>
    <w:rsid w:val="007E069E"/>
    <w:rsid w:val="007E351E"/>
    <w:rsid w:val="007E3A3B"/>
    <w:rsid w:val="007E658A"/>
    <w:rsid w:val="007F2043"/>
    <w:rsid w:val="007F2A14"/>
    <w:rsid w:val="007F3DE5"/>
    <w:rsid w:val="007F6FEB"/>
    <w:rsid w:val="00801770"/>
    <w:rsid w:val="00804A3E"/>
    <w:rsid w:val="00806A19"/>
    <w:rsid w:val="0081200B"/>
    <w:rsid w:val="00816B87"/>
    <w:rsid w:val="00820D94"/>
    <w:rsid w:val="008304CF"/>
    <w:rsid w:val="00832056"/>
    <w:rsid w:val="008327D9"/>
    <w:rsid w:val="008452DD"/>
    <w:rsid w:val="00856320"/>
    <w:rsid w:val="0086004A"/>
    <w:rsid w:val="0086269E"/>
    <w:rsid w:val="008640F9"/>
    <w:rsid w:val="008652F6"/>
    <w:rsid w:val="00870D96"/>
    <w:rsid w:val="008762E9"/>
    <w:rsid w:val="00890C49"/>
    <w:rsid w:val="00892F5D"/>
    <w:rsid w:val="00894A3C"/>
    <w:rsid w:val="00897501"/>
    <w:rsid w:val="008A09BA"/>
    <w:rsid w:val="008A43F9"/>
    <w:rsid w:val="008A6E66"/>
    <w:rsid w:val="008B4453"/>
    <w:rsid w:val="008B62CD"/>
    <w:rsid w:val="008C0D1E"/>
    <w:rsid w:val="008C53D2"/>
    <w:rsid w:val="008C5FE3"/>
    <w:rsid w:val="008C649F"/>
    <w:rsid w:val="008D2990"/>
    <w:rsid w:val="008D621A"/>
    <w:rsid w:val="008E0CF8"/>
    <w:rsid w:val="008E0EF6"/>
    <w:rsid w:val="008E4955"/>
    <w:rsid w:val="008E6226"/>
    <w:rsid w:val="008F3ECA"/>
    <w:rsid w:val="008F4BD2"/>
    <w:rsid w:val="008F6A27"/>
    <w:rsid w:val="008F6DB6"/>
    <w:rsid w:val="009034FF"/>
    <w:rsid w:val="0091189A"/>
    <w:rsid w:val="00912446"/>
    <w:rsid w:val="00912478"/>
    <w:rsid w:val="0091498E"/>
    <w:rsid w:val="00916975"/>
    <w:rsid w:val="0091784D"/>
    <w:rsid w:val="009238E6"/>
    <w:rsid w:val="009368EA"/>
    <w:rsid w:val="009372A8"/>
    <w:rsid w:val="0094025A"/>
    <w:rsid w:val="009433D4"/>
    <w:rsid w:val="00945AC5"/>
    <w:rsid w:val="00946C7C"/>
    <w:rsid w:val="0095449D"/>
    <w:rsid w:val="009558CC"/>
    <w:rsid w:val="009607F9"/>
    <w:rsid w:val="0096194A"/>
    <w:rsid w:val="00962310"/>
    <w:rsid w:val="00964136"/>
    <w:rsid w:val="009654EC"/>
    <w:rsid w:val="00966AE4"/>
    <w:rsid w:val="00970461"/>
    <w:rsid w:val="00981704"/>
    <w:rsid w:val="00985F85"/>
    <w:rsid w:val="00986BBB"/>
    <w:rsid w:val="00987429"/>
    <w:rsid w:val="009879D3"/>
    <w:rsid w:val="00993390"/>
    <w:rsid w:val="00994480"/>
    <w:rsid w:val="0099651B"/>
    <w:rsid w:val="00996F05"/>
    <w:rsid w:val="00997A4F"/>
    <w:rsid w:val="009A0BFA"/>
    <w:rsid w:val="009A134A"/>
    <w:rsid w:val="009A34A2"/>
    <w:rsid w:val="009A79C2"/>
    <w:rsid w:val="009B0564"/>
    <w:rsid w:val="009C0686"/>
    <w:rsid w:val="009C13E5"/>
    <w:rsid w:val="009C5314"/>
    <w:rsid w:val="009D070F"/>
    <w:rsid w:val="009D1317"/>
    <w:rsid w:val="009D175A"/>
    <w:rsid w:val="009E13A1"/>
    <w:rsid w:val="009F40CA"/>
    <w:rsid w:val="009F58FF"/>
    <w:rsid w:val="009F5C52"/>
    <w:rsid w:val="009F646F"/>
    <w:rsid w:val="009F79EF"/>
    <w:rsid w:val="009F7BDD"/>
    <w:rsid w:val="00A012BE"/>
    <w:rsid w:val="00A0168D"/>
    <w:rsid w:val="00A112EC"/>
    <w:rsid w:val="00A12E49"/>
    <w:rsid w:val="00A1715F"/>
    <w:rsid w:val="00A215B1"/>
    <w:rsid w:val="00A267E5"/>
    <w:rsid w:val="00A300C3"/>
    <w:rsid w:val="00A3160B"/>
    <w:rsid w:val="00A321C7"/>
    <w:rsid w:val="00A362E2"/>
    <w:rsid w:val="00A36F02"/>
    <w:rsid w:val="00A41308"/>
    <w:rsid w:val="00A51C82"/>
    <w:rsid w:val="00A55AEA"/>
    <w:rsid w:val="00A61735"/>
    <w:rsid w:val="00A631B8"/>
    <w:rsid w:val="00A64C2F"/>
    <w:rsid w:val="00A64D7F"/>
    <w:rsid w:val="00A67FC6"/>
    <w:rsid w:val="00A70F4E"/>
    <w:rsid w:val="00A73E3B"/>
    <w:rsid w:val="00A742FF"/>
    <w:rsid w:val="00A836EF"/>
    <w:rsid w:val="00A911B3"/>
    <w:rsid w:val="00A922B0"/>
    <w:rsid w:val="00AA4E6F"/>
    <w:rsid w:val="00AB010A"/>
    <w:rsid w:val="00AB502A"/>
    <w:rsid w:val="00AB6127"/>
    <w:rsid w:val="00AC6FD3"/>
    <w:rsid w:val="00AC7F95"/>
    <w:rsid w:val="00AE1B9A"/>
    <w:rsid w:val="00AE5F6F"/>
    <w:rsid w:val="00AE6AAC"/>
    <w:rsid w:val="00AE6D69"/>
    <w:rsid w:val="00AF4865"/>
    <w:rsid w:val="00AF596E"/>
    <w:rsid w:val="00AF7CCC"/>
    <w:rsid w:val="00B1556F"/>
    <w:rsid w:val="00B159C5"/>
    <w:rsid w:val="00B17EE6"/>
    <w:rsid w:val="00B23787"/>
    <w:rsid w:val="00B3063D"/>
    <w:rsid w:val="00B468D0"/>
    <w:rsid w:val="00B47844"/>
    <w:rsid w:val="00B5155C"/>
    <w:rsid w:val="00B54A5B"/>
    <w:rsid w:val="00B55907"/>
    <w:rsid w:val="00B71257"/>
    <w:rsid w:val="00B714B0"/>
    <w:rsid w:val="00B72D7C"/>
    <w:rsid w:val="00B74A15"/>
    <w:rsid w:val="00B74BF4"/>
    <w:rsid w:val="00B769A6"/>
    <w:rsid w:val="00B81357"/>
    <w:rsid w:val="00B84EDE"/>
    <w:rsid w:val="00B9166A"/>
    <w:rsid w:val="00B91D67"/>
    <w:rsid w:val="00B91E71"/>
    <w:rsid w:val="00B95383"/>
    <w:rsid w:val="00B96F72"/>
    <w:rsid w:val="00B9790F"/>
    <w:rsid w:val="00BA13E0"/>
    <w:rsid w:val="00BA24CB"/>
    <w:rsid w:val="00BA3BBD"/>
    <w:rsid w:val="00BA461F"/>
    <w:rsid w:val="00BA46A3"/>
    <w:rsid w:val="00BB13CB"/>
    <w:rsid w:val="00BB6BAA"/>
    <w:rsid w:val="00BC00E7"/>
    <w:rsid w:val="00BC1A88"/>
    <w:rsid w:val="00BD0144"/>
    <w:rsid w:val="00BD0676"/>
    <w:rsid w:val="00BE01B3"/>
    <w:rsid w:val="00BE1A03"/>
    <w:rsid w:val="00BF1DBD"/>
    <w:rsid w:val="00BF3488"/>
    <w:rsid w:val="00BF6EB6"/>
    <w:rsid w:val="00C0525B"/>
    <w:rsid w:val="00C07AC7"/>
    <w:rsid w:val="00C16E15"/>
    <w:rsid w:val="00C21304"/>
    <w:rsid w:val="00C232EE"/>
    <w:rsid w:val="00C23495"/>
    <w:rsid w:val="00C23780"/>
    <w:rsid w:val="00C24707"/>
    <w:rsid w:val="00C27ECE"/>
    <w:rsid w:val="00C30203"/>
    <w:rsid w:val="00C31C4B"/>
    <w:rsid w:val="00C32DB4"/>
    <w:rsid w:val="00C3647C"/>
    <w:rsid w:val="00C441AB"/>
    <w:rsid w:val="00C44DFC"/>
    <w:rsid w:val="00C56BDE"/>
    <w:rsid w:val="00C620BF"/>
    <w:rsid w:val="00C6520A"/>
    <w:rsid w:val="00C717A8"/>
    <w:rsid w:val="00C73C39"/>
    <w:rsid w:val="00C76D32"/>
    <w:rsid w:val="00C779C4"/>
    <w:rsid w:val="00C80C75"/>
    <w:rsid w:val="00C838CE"/>
    <w:rsid w:val="00C91D3D"/>
    <w:rsid w:val="00C92150"/>
    <w:rsid w:val="00C94805"/>
    <w:rsid w:val="00C949D8"/>
    <w:rsid w:val="00C97976"/>
    <w:rsid w:val="00CA4905"/>
    <w:rsid w:val="00CA7328"/>
    <w:rsid w:val="00CB314C"/>
    <w:rsid w:val="00CB648E"/>
    <w:rsid w:val="00CB6C68"/>
    <w:rsid w:val="00CB767F"/>
    <w:rsid w:val="00CC29C4"/>
    <w:rsid w:val="00CC433A"/>
    <w:rsid w:val="00CC61A7"/>
    <w:rsid w:val="00CC79EF"/>
    <w:rsid w:val="00CD1359"/>
    <w:rsid w:val="00CD5DF5"/>
    <w:rsid w:val="00CE2715"/>
    <w:rsid w:val="00CE2B71"/>
    <w:rsid w:val="00CF5399"/>
    <w:rsid w:val="00D012D8"/>
    <w:rsid w:val="00D15CB3"/>
    <w:rsid w:val="00D17A23"/>
    <w:rsid w:val="00D20A9C"/>
    <w:rsid w:val="00D233CC"/>
    <w:rsid w:val="00D25E80"/>
    <w:rsid w:val="00D27919"/>
    <w:rsid w:val="00D35D65"/>
    <w:rsid w:val="00D37F9E"/>
    <w:rsid w:val="00D4186E"/>
    <w:rsid w:val="00D424F2"/>
    <w:rsid w:val="00D4296F"/>
    <w:rsid w:val="00D5124D"/>
    <w:rsid w:val="00D51532"/>
    <w:rsid w:val="00D515D1"/>
    <w:rsid w:val="00D5186D"/>
    <w:rsid w:val="00D556B1"/>
    <w:rsid w:val="00D61907"/>
    <w:rsid w:val="00D66019"/>
    <w:rsid w:val="00D719AD"/>
    <w:rsid w:val="00D719F3"/>
    <w:rsid w:val="00D71EB4"/>
    <w:rsid w:val="00D75226"/>
    <w:rsid w:val="00D754A5"/>
    <w:rsid w:val="00D765B2"/>
    <w:rsid w:val="00D80F0B"/>
    <w:rsid w:val="00D84EA9"/>
    <w:rsid w:val="00D86297"/>
    <w:rsid w:val="00D949F8"/>
    <w:rsid w:val="00DA6D3C"/>
    <w:rsid w:val="00DB402D"/>
    <w:rsid w:val="00DB52E3"/>
    <w:rsid w:val="00DB5DD3"/>
    <w:rsid w:val="00DC005B"/>
    <w:rsid w:val="00DC6EAD"/>
    <w:rsid w:val="00DC76FD"/>
    <w:rsid w:val="00DC7C2B"/>
    <w:rsid w:val="00DD24FB"/>
    <w:rsid w:val="00DD4457"/>
    <w:rsid w:val="00DD5056"/>
    <w:rsid w:val="00DD5F74"/>
    <w:rsid w:val="00DE6769"/>
    <w:rsid w:val="00DE6A17"/>
    <w:rsid w:val="00DE7D3C"/>
    <w:rsid w:val="00DF4361"/>
    <w:rsid w:val="00DF4467"/>
    <w:rsid w:val="00DF5E14"/>
    <w:rsid w:val="00E056D5"/>
    <w:rsid w:val="00E1093B"/>
    <w:rsid w:val="00E11AE0"/>
    <w:rsid w:val="00E145C0"/>
    <w:rsid w:val="00E15770"/>
    <w:rsid w:val="00E1609A"/>
    <w:rsid w:val="00E1649F"/>
    <w:rsid w:val="00E226AA"/>
    <w:rsid w:val="00E22C5C"/>
    <w:rsid w:val="00E23477"/>
    <w:rsid w:val="00E322D0"/>
    <w:rsid w:val="00E3323C"/>
    <w:rsid w:val="00E37AB2"/>
    <w:rsid w:val="00E42307"/>
    <w:rsid w:val="00E44363"/>
    <w:rsid w:val="00E46688"/>
    <w:rsid w:val="00E51920"/>
    <w:rsid w:val="00E5357F"/>
    <w:rsid w:val="00E53DE8"/>
    <w:rsid w:val="00E55B3F"/>
    <w:rsid w:val="00E561A0"/>
    <w:rsid w:val="00E62E08"/>
    <w:rsid w:val="00E63ED4"/>
    <w:rsid w:val="00E7054C"/>
    <w:rsid w:val="00E713EB"/>
    <w:rsid w:val="00E720BB"/>
    <w:rsid w:val="00E724D0"/>
    <w:rsid w:val="00E766C0"/>
    <w:rsid w:val="00E76E85"/>
    <w:rsid w:val="00E774CF"/>
    <w:rsid w:val="00E8692A"/>
    <w:rsid w:val="00E90D5E"/>
    <w:rsid w:val="00E91AFF"/>
    <w:rsid w:val="00E97784"/>
    <w:rsid w:val="00EA3946"/>
    <w:rsid w:val="00EA7893"/>
    <w:rsid w:val="00EB4592"/>
    <w:rsid w:val="00EB7A2E"/>
    <w:rsid w:val="00EC1BD5"/>
    <w:rsid w:val="00EC45CE"/>
    <w:rsid w:val="00EC7D7C"/>
    <w:rsid w:val="00ED3399"/>
    <w:rsid w:val="00ED5EC1"/>
    <w:rsid w:val="00ED65F2"/>
    <w:rsid w:val="00EE1E7F"/>
    <w:rsid w:val="00EE23B1"/>
    <w:rsid w:val="00EE3253"/>
    <w:rsid w:val="00EE62B4"/>
    <w:rsid w:val="00EF67BC"/>
    <w:rsid w:val="00F00052"/>
    <w:rsid w:val="00F021CC"/>
    <w:rsid w:val="00F02405"/>
    <w:rsid w:val="00F0790B"/>
    <w:rsid w:val="00F10D73"/>
    <w:rsid w:val="00F13F46"/>
    <w:rsid w:val="00F15377"/>
    <w:rsid w:val="00F16B3D"/>
    <w:rsid w:val="00F17F7E"/>
    <w:rsid w:val="00F21A29"/>
    <w:rsid w:val="00F22A02"/>
    <w:rsid w:val="00F31C0B"/>
    <w:rsid w:val="00F359F6"/>
    <w:rsid w:val="00F443E9"/>
    <w:rsid w:val="00F45949"/>
    <w:rsid w:val="00F54EBF"/>
    <w:rsid w:val="00F57A13"/>
    <w:rsid w:val="00F64C3D"/>
    <w:rsid w:val="00F82A02"/>
    <w:rsid w:val="00F83067"/>
    <w:rsid w:val="00F84280"/>
    <w:rsid w:val="00F84604"/>
    <w:rsid w:val="00F85667"/>
    <w:rsid w:val="00F947D0"/>
    <w:rsid w:val="00FA17F6"/>
    <w:rsid w:val="00FB1E77"/>
    <w:rsid w:val="00FB41E8"/>
    <w:rsid w:val="00FC7A3E"/>
    <w:rsid w:val="00FD2E4A"/>
    <w:rsid w:val="00FD4F07"/>
    <w:rsid w:val="00FD50E1"/>
    <w:rsid w:val="00FD5155"/>
    <w:rsid w:val="00FD5BAD"/>
    <w:rsid w:val="00FD7CA1"/>
    <w:rsid w:val="00FE0D17"/>
    <w:rsid w:val="00FE28F6"/>
    <w:rsid w:val="00FE31C9"/>
    <w:rsid w:val="00FF265F"/>
    <w:rsid w:val="00FF2B5E"/>
    <w:rsid w:val="00FF2CB8"/>
    <w:rsid w:val="00FF7642"/>
    <w:rsid w:val="01396E1E"/>
    <w:rsid w:val="026A5ED3"/>
    <w:rsid w:val="02AB74C0"/>
    <w:rsid w:val="02B713DD"/>
    <w:rsid w:val="02E7636A"/>
    <w:rsid w:val="032D46AD"/>
    <w:rsid w:val="039D0B87"/>
    <w:rsid w:val="03C023C4"/>
    <w:rsid w:val="03E67958"/>
    <w:rsid w:val="042F0F2F"/>
    <w:rsid w:val="043B619E"/>
    <w:rsid w:val="047F7D6A"/>
    <w:rsid w:val="05134165"/>
    <w:rsid w:val="05381AE9"/>
    <w:rsid w:val="056B0050"/>
    <w:rsid w:val="057070AF"/>
    <w:rsid w:val="05A30D0A"/>
    <w:rsid w:val="0616597F"/>
    <w:rsid w:val="0640075A"/>
    <w:rsid w:val="06433876"/>
    <w:rsid w:val="06DC1CCF"/>
    <w:rsid w:val="080B4901"/>
    <w:rsid w:val="08294BE0"/>
    <w:rsid w:val="08367478"/>
    <w:rsid w:val="088E7555"/>
    <w:rsid w:val="08D15B8E"/>
    <w:rsid w:val="08F50260"/>
    <w:rsid w:val="09A83C4D"/>
    <w:rsid w:val="09F26F64"/>
    <w:rsid w:val="0A0374BE"/>
    <w:rsid w:val="0AB34C1D"/>
    <w:rsid w:val="0AD171EB"/>
    <w:rsid w:val="0B694656"/>
    <w:rsid w:val="0B752658"/>
    <w:rsid w:val="0BAE2BB0"/>
    <w:rsid w:val="0C450B10"/>
    <w:rsid w:val="0C5D6CFA"/>
    <w:rsid w:val="0C924131"/>
    <w:rsid w:val="0CAD505A"/>
    <w:rsid w:val="0CB46EE5"/>
    <w:rsid w:val="0D1424ED"/>
    <w:rsid w:val="0EBE026C"/>
    <w:rsid w:val="0EE05EF8"/>
    <w:rsid w:val="0F044BC2"/>
    <w:rsid w:val="0F1862C4"/>
    <w:rsid w:val="0F1B0E91"/>
    <w:rsid w:val="0FBD2F3E"/>
    <w:rsid w:val="0FD81BBD"/>
    <w:rsid w:val="10003E8A"/>
    <w:rsid w:val="100F133B"/>
    <w:rsid w:val="10584E50"/>
    <w:rsid w:val="107E1985"/>
    <w:rsid w:val="116566E2"/>
    <w:rsid w:val="122033F1"/>
    <w:rsid w:val="12583BA5"/>
    <w:rsid w:val="125C346D"/>
    <w:rsid w:val="12D76AFF"/>
    <w:rsid w:val="13911D4A"/>
    <w:rsid w:val="13994E32"/>
    <w:rsid w:val="139F22A2"/>
    <w:rsid w:val="14013789"/>
    <w:rsid w:val="149C17B1"/>
    <w:rsid w:val="15CD3883"/>
    <w:rsid w:val="166B1CF2"/>
    <w:rsid w:val="167F6772"/>
    <w:rsid w:val="17286D0C"/>
    <w:rsid w:val="17331BCD"/>
    <w:rsid w:val="17C32B53"/>
    <w:rsid w:val="18151292"/>
    <w:rsid w:val="186500A0"/>
    <w:rsid w:val="19305D83"/>
    <w:rsid w:val="1949725D"/>
    <w:rsid w:val="1A8426F2"/>
    <w:rsid w:val="1AB21477"/>
    <w:rsid w:val="1AC257EB"/>
    <w:rsid w:val="1B5A67D4"/>
    <w:rsid w:val="1B6B2D23"/>
    <w:rsid w:val="1B8C409D"/>
    <w:rsid w:val="1BE52C47"/>
    <w:rsid w:val="1C0A2A15"/>
    <w:rsid w:val="1CCB575D"/>
    <w:rsid w:val="1CDD08BB"/>
    <w:rsid w:val="1CE20B88"/>
    <w:rsid w:val="1D480F19"/>
    <w:rsid w:val="1E8A1BE4"/>
    <w:rsid w:val="1EC94D98"/>
    <w:rsid w:val="1F651CF0"/>
    <w:rsid w:val="20306EFE"/>
    <w:rsid w:val="20861AA1"/>
    <w:rsid w:val="20C21112"/>
    <w:rsid w:val="20C65153"/>
    <w:rsid w:val="21C44CE7"/>
    <w:rsid w:val="22075142"/>
    <w:rsid w:val="227E0543"/>
    <w:rsid w:val="22A51A4C"/>
    <w:rsid w:val="22C20608"/>
    <w:rsid w:val="230276B9"/>
    <w:rsid w:val="232C5C0B"/>
    <w:rsid w:val="240A5F44"/>
    <w:rsid w:val="24D600A7"/>
    <w:rsid w:val="252C04B1"/>
    <w:rsid w:val="2554707F"/>
    <w:rsid w:val="25AB1E8E"/>
    <w:rsid w:val="25AB795A"/>
    <w:rsid w:val="25BD776E"/>
    <w:rsid w:val="26120330"/>
    <w:rsid w:val="26F36CE1"/>
    <w:rsid w:val="27C64A52"/>
    <w:rsid w:val="287539B1"/>
    <w:rsid w:val="288244B6"/>
    <w:rsid w:val="290C23A0"/>
    <w:rsid w:val="297154E6"/>
    <w:rsid w:val="297633D8"/>
    <w:rsid w:val="2A4E6BE6"/>
    <w:rsid w:val="2A7F1479"/>
    <w:rsid w:val="2AB32A30"/>
    <w:rsid w:val="2AFC209D"/>
    <w:rsid w:val="2B9E39EA"/>
    <w:rsid w:val="2BA32F62"/>
    <w:rsid w:val="2C0E2ED8"/>
    <w:rsid w:val="2C5D3C10"/>
    <w:rsid w:val="2C604DAA"/>
    <w:rsid w:val="2CB72A56"/>
    <w:rsid w:val="2D3276C1"/>
    <w:rsid w:val="2E0065C0"/>
    <w:rsid w:val="2E20279C"/>
    <w:rsid w:val="2F4B0C00"/>
    <w:rsid w:val="301E69AA"/>
    <w:rsid w:val="304C4B49"/>
    <w:rsid w:val="31A6643F"/>
    <w:rsid w:val="31CE42C2"/>
    <w:rsid w:val="31DB419E"/>
    <w:rsid w:val="320372CF"/>
    <w:rsid w:val="324416AF"/>
    <w:rsid w:val="325B6E31"/>
    <w:rsid w:val="327B2543"/>
    <w:rsid w:val="32D51B15"/>
    <w:rsid w:val="32F475B1"/>
    <w:rsid w:val="330F0373"/>
    <w:rsid w:val="332075D5"/>
    <w:rsid w:val="34057E07"/>
    <w:rsid w:val="344635D2"/>
    <w:rsid w:val="34F14BFF"/>
    <w:rsid w:val="35352443"/>
    <w:rsid w:val="355D76DC"/>
    <w:rsid w:val="36925815"/>
    <w:rsid w:val="372E1C96"/>
    <w:rsid w:val="37AD4C38"/>
    <w:rsid w:val="38775636"/>
    <w:rsid w:val="39100433"/>
    <w:rsid w:val="39B80A98"/>
    <w:rsid w:val="3A462430"/>
    <w:rsid w:val="3B650C27"/>
    <w:rsid w:val="3BE95021"/>
    <w:rsid w:val="3CA005E4"/>
    <w:rsid w:val="3CEC237F"/>
    <w:rsid w:val="3D503983"/>
    <w:rsid w:val="3DE51205"/>
    <w:rsid w:val="3E4449DE"/>
    <w:rsid w:val="3E456D50"/>
    <w:rsid w:val="3EE84386"/>
    <w:rsid w:val="3F344422"/>
    <w:rsid w:val="40066C63"/>
    <w:rsid w:val="404708C6"/>
    <w:rsid w:val="40A11F8B"/>
    <w:rsid w:val="410179E5"/>
    <w:rsid w:val="41845E18"/>
    <w:rsid w:val="41867CEB"/>
    <w:rsid w:val="41C46409"/>
    <w:rsid w:val="42212F8E"/>
    <w:rsid w:val="42C5098D"/>
    <w:rsid w:val="430E3362"/>
    <w:rsid w:val="44727C49"/>
    <w:rsid w:val="450E7246"/>
    <w:rsid w:val="453D4F21"/>
    <w:rsid w:val="457760AA"/>
    <w:rsid w:val="4679192E"/>
    <w:rsid w:val="4679299A"/>
    <w:rsid w:val="4679683B"/>
    <w:rsid w:val="468D647B"/>
    <w:rsid w:val="47E75CA9"/>
    <w:rsid w:val="48055582"/>
    <w:rsid w:val="486C7277"/>
    <w:rsid w:val="487A531F"/>
    <w:rsid w:val="495D296B"/>
    <w:rsid w:val="49650AE9"/>
    <w:rsid w:val="4AC40AD3"/>
    <w:rsid w:val="4ADE0A2A"/>
    <w:rsid w:val="4B5B6BAD"/>
    <w:rsid w:val="4BAD61C7"/>
    <w:rsid w:val="4C666815"/>
    <w:rsid w:val="4C8147A2"/>
    <w:rsid w:val="4D3922B1"/>
    <w:rsid w:val="4D467742"/>
    <w:rsid w:val="4DC82688"/>
    <w:rsid w:val="4E191D18"/>
    <w:rsid w:val="4E496E8C"/>
    <w:rsid w:val="4E7639A3"/>
    <w:rsid w:val="4E975DC9"/>
    <w:rsid w:val="4EC43C60"/>
    <w:rsid w:val="4EC87038"/>
    <w:rsid w:val="4EE85183"/>
    <w:rsid w:val="4F2166D6"/>
    <w:rsid w:val="501871CB"/>
    <w:rsid w:val="504370F5"/>
    <w:rsid w:val="50CF75E9"/>
    <w:rsid w:val="519066EC"/>
    <w:rsid w:val="51990CFC"/>
    <w:rsid w:val="51E43B54"/>
    <w:rsid w:val="52272782"/>
    <w:rsid w:val="52497371"/>
    <w:rsid w:val="531775C8"/>
    <w:rsid w:val="5371640F"/>
    <w:rsid w:val="537A031A"/>
    <w:rsid w:val="538A1A92"/>
    <w:rsid w:val="5395244E"/>
    <w:rsid w:val="53BC394B"/>
    <w:rsid w:val="558C043F"/>
    <w:rsid w:val="55CE02CB"/>
    <w:rsid w:val="55FC3817"/>
    <w:rsid w:val="560508E1"/>
    <w:rsid w:val="56052DAF"/>
    <w:rsid w:val="56424FA2"/>
    <w:rsid w:val="56C67981"/>
    <w:rsid w:val="57362523"/>
    <w:rsid w:val="57786A13"/>
    <w:rsid w:val="57AA6201"/>
    <w:rsid w:val="57D8123E"/>
    <w:rsid w:val="5806706B"/>
    <w:rsid w:val="586F1024"/>
    <w:rsid w:val="595E2A7B"/>
    <w:rsid w:val="598A527D"/>
    <w:rsid w:val="59C52C2C"/>
    <w:rsid w:val="59E47871"/>
    <w:rsid w:val="5A380133"/>
    <w:rsid w:val="5A3F5E2C"/>
    <w:rsid w:val="5AD53BEC"/>
    <w:rsid w:val="5AF77B13"/>
    <w:rsid w:val="5B5A73CA"/>
    <w:rsid w:val="5BEB4506"/>
    <w:rsid w:val="5C414B98"/>
    <w:rsid w:val="5C580459"/>
    <w:rsid w:val="5CC22486"/>
    <w:rsid w:val="5D175151"/>
    <w:rsid w:val="5D236E14"/>
    <w:rsid w:val="5D5D6574"/>
    <w:rsid w:val="5E5854F3"/>
    <w:rsid w:val="5E844071"/>
    <w:rsid w:val="5EDF72E1"/>
    <w:rsid w:val="5F427DC1"/>
    <w:rsid w:val="5F7E1B3E"/>
    <w:rsid w:val="601B15EC"/>
    <w:rsid w:val="60F01C8C"/>
    <w:rsid w:val="614222FA"/>
    <w:rsid w:val="614758C4"/>
    <w:rsid w:val="616868CD"/>
    <w:rsid w:val="616F4A31"/>
    <w:rsid w:val="617C0956"/>
    <w:rsid w:val="618B596E"/>
    <w:rsid w:val="624F579C"/>
    <w:rsid w:val="62DB47B4"/>
    <w:rsid w:val="6321346A"/>
    <w:rsid w:val="63783C63"/>
    <w:rsid w:val="64551D51"/>
    <w:rsid w:val="6558754B"/>
    <w:rsid w:val="658253DE"/>
    <w:rsid w:val="65C73C75"/>
    <w:rsid w:val="66067887"/>
    <w:rsid w:val="66436903"/>
    <w:rsid w:val="668A45BE"/>
    <w:rsid w:val="66972864"/>
    <w:rsid w:val="66F34B63"/>
    <w:rsid w:val="67002378"/>
    <w:rsid w:val="679A69EC"/>
    <w:rsid w:val="67BE391A"/>
    <w:rsid w:val="67D627D4"/>
    <w:rsid w:val="67EC216B"/>
    <w:rsid w:val="68532E1B"/>
    <w:rsid w:val="689B0B6D"/>
    <w:rsid w:val="690011ED"/>
    <w:rsid w:val="69055727"/>
    <w:rsid w:val="69623D5B"/>
    <w:rsid w:val="69704D69"/>
    <w:rsid w:val="697978C9"/>
    <w:rsid w:val="697D0C4F"/>
    <w:rsid w:val="69AD6FB8"/>
    <w:rsid w:val="6A260065"/>
    <w:rsid w:val="6A3B141D"/>
    <w:rsid w:val="6A6D7268"/>
    <w:rsid w:val="6A7B7BC0"/>
    <w:rsid w:val="6A980A48"/>
    <w:rsid w:val="6B8877DF"/>
    <w:rsid w:val="6C722A93"/>
    <w:rsid w:val="6C7765F8"/>
    <w:rsid w:val="6C90074E"/>
    <w:rsid w:val="6CF6582D"/>
    <w:rsid w:val="6D0F33FD"/>
    <w:rsid w:val="6D511D0F"/>
    <w:rsid w:val="7008216B"/>
    <w:rsid w:val="70524453"/>
    <w:rsid w:val="70C66F2A"/>
    <w:rsid w:val="72DE0632"/>
    <w:rsid w:val="73195489"/>
    <w:rsid w:val="73EB59CE"/>
    <w:rsid w:val="745B2C5A"/>
    <w:rsid w:val="747538BC"/>
    <w:rsid w:val="7491327F"/>
    <w:rsid w:val="74E24075"/>
    <w:rsid w:val="754D4085"/>
    <w:rsid w:val="765C5D62"/>
    <w:rsid w:val="76ED692A"/>
    <w:rsid w:val="76F61863"/>
    <w:rsid w:val="76F74609"/>
    <w:rsid w:val="770B3C4E"/>
    <w:rsid w:val="775F689D"/>
    <w:rsid w:val="780C7998"/>
    <w:rsid w:val="78404DFD"/>
    <w:rsid w:val="7A433AEF"/>
    <w:rsid w:val="7AAF70AB"/>
    <w:rsid w:val="7B307B4A"/>
    <w:rsid w:val="7BD45137"/>
    <w:rsid w:val="7BEF081E"/>
    <w:rsid w:val="7C972D88"/>
    <w:rsid w:val="7D7A4E9D"/>
    <w:rsid w:val="7D8733D5"/>
    <w:rsid w:val="7F3B68AE"/>
    <w:rsid w:val="7F9B4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qFormat="1"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1"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qFormat="1" w:unhideWhenUsed="0" w:uiPriority="99" w:semiHidden="0" w:name="Body Text First Indent"/>
    <w:lsdException w:qFormat="1" w:uiPriority="99" w:semiHidden="0" w:name="Body Text First Indent 2"/>
    <w:lsdException w:uiPriority="0" w:name="Note Heading"/>
    <w:lsdException w:uiPriority="0" w:name="Body Text 2"/>
    <w:lsdException w:uiPriority="0" w:name="Body Text 3"/>
    <w:lsdException w:qFormat="1" w:uiPriority="0" w:semiHidden="0" w:name="Body Text Indent 2"/>
    <w:lsdException w:uiPriority="0" w:name="Body Text Indent 3"/>
    <w:lsdException w:uiPriority="0"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黑体"/>
      <w:kern w:val="2"/>
      <w:sz w:val="21"/>
      <w:szCs w:val="22"/>
      <w:lang w:val="en-US" w:eastAsia="zh-CN" w:bidi="ar-SA"/>
    </w:rPr>
  </w:style>
  <w:style w:type="paragraph" w:styleId="4">
    <w:name w:val="heading 1"/>
    <w:basedOn w:val="1"/>
    <w:next w:val="1"/>
    <w:link w:val="64"/>
    <w:qFormat/>
    <w:uiPriority w:val="9"/>
    <w:pPr>
      <w:keepNext/>
      <w:keepLines/>
      <w:spacing w:before="340" w:after="330" w:line="578" w:lineRule="auto"/>
      <w:outlineLvl w:val="0"/>
    </w:pPr>
    <w:rPr>
      <w:b/>
      <w:bCs/>
      <w:kern w:val="44"/>
      <w:sz w:val="44"/>
      <w:szCs w:val="44"/>
    </w:rPr>
  </w:style>
  <w:style w:type="paragraph" w:styleId="5">
    <w:name w:val="heading 3"/>
    <w:basedOn w:val="1"/>
    <w:next w:val="1"/>
    <w:link w:val="58"/>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paragraph" w:styleId="6">
    <w:name w:val="heading 4"/>
    <w:basedOn w:val="1"/>
    <w:next w:val="1"/>
    <w:qFormat/>
    <w:uiPriority w:val="0"/>
    <w:pPr>
      <w:keepNext/>
      <w:keepLines/>
      <w:adjustRightInd w:val="0"/>
      <w:spacing w:before="280" w:after="290" w:line="376" w:lineRule="atLeast"/>
      <w:outlineLvl w:val="3"/>
    </w:pPr>
    <w:rPr>
      <w:rFonts w:ascii="Arial" w:hAnsi="Arial" w:eastAsia="黑体"/>
      <w:b/>
      <w:kern w:val="0"/>
      <w:sz w:val="28"/>
      <w:szCs w:val="20"/>
    </w:rPr>
  </w:style>
  <w:style w:type="character" w:default="1" w:styleId="23">
    <w:name w:val="Default Paragraph Font"/>
    <w:unhideWhenUsed/>
    <w:qFormat/>
    <w:uiPriority w:val="1"/>
  </w:style>
  <w:style w:type="table" w:default="1" w:styleId="21">
    <w:name w:val="Normal Table"/>
    <w:unhideWhenUsed/>
    <w:qFormat/>
    <w:uiPriority w:val="99"/>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style>
  <w:style w:type="paragraph" w:styleId="3">
    <w:name w:val="Body Text"/>
    <w:basedOn w:val="1"/>
    <w:qFormat/>
    <w:uiPriority w:val="1"/>
    <w:pPr>
      <w:autoSpaceDE w:val="0"/>
      <w:autoSpaceDN w:val="0"/>
      <w:ind w:left="455"/>
      <w:jc w:val="left"/>
    </w:pPr>
    <w:rPr>
      <w:rFonts w:cs="宋体"/>
      <w:kern w:val="0"/>
      <w:sz w:val="28"/>
      <w:szCs w:val="28"/>
      <w:lang w:val="zh-CN" w:bidi="zh-CN"/>
    </w:rPr>
  </w:style>
  <w:style w:type="paragraph" w:styleId="7">
    <w:name w:val="caption"/>
    <w:basedOn w:val="1"/>
    <w:next w:val="1"/>
    <w:qFormat/>
    <w:uiPriority w:val="0"/>
    <w:pPr>
      <w:spacing w:before="160" w:after="160" w:line="288" w:lineRule="auto"/>
      <w:ind w:firstLine="510"/>
      <w:jc w:val="center"/>
    </w:pPr>
    <w:rPr>
      <w:rFonts w:ascii="Arial" w:hAnsi="Arial" w:eastAsia="黑体"/>
      <w:sz w:val="24"/>
    </w:rPr>
  </w:style>
  <w:style w:type="paragraph" w:styleId="8">
    <w:name w:val="annotation text"/>
    <w:basedOn w:val="1"/>
    <w:link w:val="60"/>
    <w:unhideWhenUsed/>
    <w:qFormat/>
    <w:uiPriority w:val="99"/>
    <w:pPr>
      <w:jc w:val="left"/>
    </w:pPr>
  </w:style>
  <w:style w:type="paragraph" w:styleId="9">
    <w:name w:val="Body Text Indent"/>
    <w:basedOn w:val="1"/>
    <w:next w:val="7"/>
    <w:link w:val="62"/>
    <w:unhideWhenUsed/>
    <w:qFormat/>
    <w:uiPriority w:val="99"/>
    <w:pPr>
      <w:spacing w:after="120"/>
      <w:ind w:left="420" w:leftChars="200"/>
    </w:pPr>
  </w:style>
  <w:style w:type="paragraph" w:styleId="10">
    <w:name w:val="Plain Text"/>
    <w:basedOn w:val="1"/>
    <w:qFormat/>
    <w:uiPriority w:val="0"/>
    <w:rPr>
      <w:rFonts w:ascii="宋体" w:hAnsi="Courier New"/>
      <w:szCs w:val="20"/>
    </w:rPr>
  </w:style>
  <w:style w:type="paragraph" w:styleId="11">
    <w:name w:val="Date"/>
    <w:basedOn w:val="1"/>
    <w:next w:val="1"/>
    <w:link w:val="59"/>
    <w:unhideWhenUsed/>
    <w:qFormat/>
    <w:uiPriority w:val="99"/>
    <w:pPr>
      <w:ind w:left="100" w:leftChars="2500"/>
    </w:pPr>
  </w:style>
  <w:style w:type="paragraph" w:styleId="12">
    <w:name w:val="Body Text Indent 2"/>
    <w:basedOn w:val="1"/>
    <w:unhideWhenUsed/>
    <w:qFormat/>
    <w:uiPriority w:val="0"/>
    <w:pPr>
      <w:spacing w:line="360" w:lineRule="auto"/>
      <w:ind w:firstLine="200" w:firstLineChars="200"/>
      <w:jc w:val="left"/>
    </w:pPr>
    <w:rPr>
      <w:rFonts w:ascii="宋体"/>
      <w:b/>
      <w:bCs/>
      <w:sz w:val="28"/>
    </w:rPr>
  </w:style>
  <w:style w:type="paragraph" w:styleId="13">
    <w:name w:val="Balloon Text"/>
    <w:basedOn w:val="1"/>
    <w:link w:val="55"/>
    <w:unhideWhenUsed/>
    <w:qFormat/>
    <w:uiPriority w:val="99"/>
    <w:rPr>
      <w:sz w:val="18"/>
      <w:szCs w:val="18"/>
    </w:rPr>
  </w:style>
  <w:style w:type="paragraph" w:styleId="14">
    <w:name w:val="footer"/>
    <w:basedOn w:val="1"/>
    <w:link w:val="57"/>
    <w:unhideWhenUsed/>
    <w:qFormat/>
    <w:uiPriority w:val="99"/>
    <w:pPr>
      <w:tabs>
        <w:tab w:val="center" w:pos="4153"/>
        <w:tab w:val="right" w:pos="8306"/>
      </w:tabs>
      <w:snapToGrid w:val="0"/>
      <w:jc w:val="left"/>
    </w:pPr>
    <w:rPr>
      <w:sz w:val="18"/>
      <w:szCs w:val="18"/>
    </w:rPr>
  </w:style>
  <w:style w:type="paragraph" w:styleId="15">
    <w:name w:val="header"/>
    <w:basedOn w:val="1"/>
    <w:link w:val="56"/>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2"/>
    <w:basedOn w:val="1"/>
    <w:next w:val="1"/>
    <w:unhideWhenUsed/>
    <w:qFormat/>
    <w:uiPriority w:val="39"/>
    <w:pPr>
      <w:ind w:left="480" w:leftChars="200"/>
    </w:pPr>
    <w:rPr>
      <w:rFonts w:ascii="仿宋" w:hAnsi="仿宋" w:eastAsia="仿宋"/>
    </w:rPr>
  </w:style>
  <w:style w:type="paragraph" w:styleId="17">
    <w:name w:val="Normal (Web)"/>
    <w:basedOn w:val="1"/>
    <w:qFormat/>
    <w:uiPriority w:val="0"/>
    <w:pPr>
      <w:widowControl/>
      <w:spacing w:before="100" w:beforeLines="0" w:beforeAutospacing="1" w:after="100" w:afterLines="0" w:afterAutospacing="1"/>
      <w:jc w:val="left"/>
    </w:pPr>
    <w:rPr>
      <w:rFonts w:ascii="Arial Unicode MS" w:hAnsi="Arial Unicode MS" w:eastAsia="Arial Unicode MS"/>
      <w:kern w:val="0"/>
      <w:sz w:val="24"/>
    </w:rPr>
  </w:style>
  <w:style w:type="paragraph" w:styleId="18">
    <w:name w:val="annotation subject"/>
    <w:basedOn w:val="8"/>
    <w:next w:val="8"/>
    <w:link w:val="61"/>
    <w:unhideWhenUsed/>
    <w:qFormat/>
    <w:uiPriority w:val="99"/>
    <w:rPr>
      <w:b/>
      <w:bCs/>
    </w:rPr>
  </w:style>
  <w:style w:type="paragraph" w:styleId="19">
    <w:name w:val="Body Text First Indent"/>
    <w:basedOn w:val="1"/>
    <w:next w:val="20"/>
    <w:qFormat/>
    <w:uiPriority w:val="99"/>
    <w:pPr>
      <w:ind w:firstLine="420" w:firstLineChars="100"/>
    </w:pPr>
  </w:style>
  <w:style w:type="paragraph" w:styleId="20">
    <w:name w:val="Body Text First Indent 2"/>
    <w:basedOn w:val="9"/>
    <w:next w:val="1"/>
    <w:link w:val="63"/>
    <w:unhideWhenUsed/>
    <w:qFormat/>
    <w:uiPriority w:val="99"/>
    <w:pPr>
      <w:spacing w:after="0" w:line="440" w:lineRule="exact"/>
      <w:ind w:left="0" w:leftChars="0" w:firstLine="420" w:firstLineChars="200"/>
    </w:pPr>
    <w:rPr>
      <w:rFonts w:ascii="Times New Roman" w:hAnsi="Times New Roman" w:eastAsia="宋体" w:cs="Times New Roman"/>
      <w:sz w:val="28"/>
      <w:szCs w:val="24"/>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basedOn w:val="23"/>
    <w:unhideWhenUsed/>
    <w:qFormat/>
    <w:uiPriority w:val="0"/>
  </w:style>
  <w:style w:type="character" w:styleId="25">
    <w:name w:val="FollowedHyperlink"/>
    <w:basedOn w:val="23"/>
    <w:unhideWhenUsed/>
    <w:qFormat/>
    <w:uiPriority w:val="99"/>
    <w:rPr>
      <w:color w:val="954F72"/>
      <w:u w:val="single"/>
    </w:rPr>
  </w:style>
  <w:style w:type="character" w:styleId="26">
    <w:name w:val="Emphasis"/>
    <w:basedOn w:val="23"/>
    <w:qFormat/>
    <w:uiPriority w:val="20"/>
    <w:rPr>
      <w:i/>
      <w:iCs/>
    </w:rPr>
  </w:style>
  <w:style w:type="character" w:styleId="27">
    <w:name w:val="Hyperlink"/>
    <w:basedOn w:val="23"/>
    <w:unhideWhenUsed/>
    <w:qFormat/>
    <w:uiPriority w:val="99"/>
    <w:rPr>
      <w:color w:val="0000FF"/>
      <w:u w:val="single"/>
    </w:rPr>
  </w:style>
  <w:style w:type="character" w:styleId="28">
    <w:name w:val="annotation reference"/>
    <w:basedOn w:val="23"/>
    <w:unhideWhenUsed/>
    <w:qFormat/>
    <w:uiPriority w:val="99"/>
    <w:rPr>
      <w:sz w:val="21"/>
      <w:szCs w:val="21"/>
    </w:rPr>
  </w:style>
  <w:style w:type="paragraph" w:customStyle="1" w:styleId="2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列表段落1"/>
    <w:basedOn w:val="1"/>
    <w:qFormat/>
    <w:uiPriority w:val="34"/>
    <w:pPr>
      <w:ind w:firstLine="420" w:firstLineChars="200"/>
    </w:pPr>
  </w:style>
  <w:style w:type="paragraph" w:customStyle="1" w:styleId="31">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
    <w:name w:val="font5"/>
    <w:basedOn w:val="1"/>
    <w:qFormat/>
    <w:uiPriority w:val="0"/>
    <w:pPr>
      <w:widowControl/>
      <w:spacing w:before="100" w:beforeAutospacing="1" w:after="100" w:afterAutospacing="1"/>
      <w:jc w:val="left"/>
    </w:pPr>
    <w:rPr>
      <w:rFonts w:cs="宋体"/>
      <w:kern w:val="0"/>
      <w:sz w:val="18"/>
      <w:szCs w:val="18"/>
    </w:rPr>
  </w:style>
  <w:style w:type="paragraph" w:customStyle="1" w:styleId="33">
    <w:name w:val="xl66"/>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34">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 w:hAnsi="仿宋" w:eastAsia="仿宋" w:cs="宋体"/>
      <w:color w:val="000000"/>
      <w:kern w:val="0"/>
      <w:sz w:val="18"/>
      <w:szCs w:val="18"/>
    </w:rPr>
  </w:style>
  <w:style w:type="paragraph" w:customStyle="1" w:styleId="35">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 w:hAnsi="仿宋" w:eastAsia="仿宋" w:cs="宋体"/>
      <w:color w:val="000000"/>
      <w:kern w:val="0"/>
      <w:sz w:val="18"/>
      <w:szCs w:val="18"/>
    </w:rPr>
  </w:style>
  <w:style w:type="paragraph" w:customStyle="1" w:styleId="36">
    <w:name w:val="xl69"/>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仿宋" w:hAnsi="仿宋" w:eastAsia="仿宋" w:cs="宋体"/>
      <w:color w:val="000000"/>
      <w:kern w:val="0"/>
      <w:sz w:val="18"/>
      <w:szCs w:val="18"/>
    </w:rPr>
  </w:style>
  <w:style w:type="paragraph" w:customStyle="1" w:styleId="37">
    <w:name w:val="xl70"/>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仿宋" w:hAnsi="仿宋" w:eastAsia="仿宋" w:cs="宋体"/>
      <w:color w:val="000000"/>
      <w:kern w:val="0"/>
      <w:sz w:val="18"/>
      <w:szCs w:val="18"/>
    </w:rPr>
  </w:style>
  <w:style w:type="paragraph" w:customStyle="1" w:styleId="38">
    <w:name w:val="xl71"/>
    <w:basedOn w:val="1"/>
    <w:qFormat/>
    <w:uiPriority w:val="0"/>
    <w:pPr>
      <w:widowControl/>
      <w:pBdr>
        <w:top w:val="single" w:color="auto" w:sz="8" w:space="0"/>
        <w:left w:val="single" w:color="auto" w:sz="8" w:space="0"/>
        <w:right w:val="single" w:color="auto" w:sz="4" w:space="0"/>
      </w:pBdr>
      <w:spacing w:before="100" w:beforeAutospacing="1" w:after="100" w:afterAutospacing="1"/>
      <w:jc w:val="center"/>
      <w:textAlignment w:val="center"/>
    </w:pPr>
    <w:rPr>
      <w:rFonts w:ascii="仿宋" w:hAnsi="仿宋" w:eastAsia="仿宋" w:cs="宋体"/>
      <w:kern w:val="0"/>
      <w:sz w:val="18"/>
      <w:szCs w:val="18"/>
    </w:rPr>
  </w:style>
  <w:style w:type="paragraph" w:customStyle="1" w:styleId="39">
    <w:name w:val="xl72"/>
    <w:basedOn w:val="1"/>
    <w:qFormat/>
    <w:uiPriority w:val="0"/>
    <w:pPr>
      <w:widowControl/>
      <w:pBdr>
        <w:top w:val="single" w:color="auto" w:sz="8" w:space="0"/>
        <w:left w:val="single" w:color="auto" w:sz="4" w:space="0"/>
        <w:right w:val="single" w:color="auto" w:sz="4" w:space="0"/>
      </w:pBdr>
      <w:spacing w:before="100" w:beforeAutospacing="1" w:after="100" w:afterAutospacing="1"/>
      <w:jc w:val="center"/>
      <w:textAlignment w:val="center"/>
    </w:pPr>
    <w:rPr>
      <w:rFonts w:ascii="仿宋" w:hAnsi="仿宋" w:eastAsia="仿宋" w:cs="宋体"/>
      <w:kern w:val="0"/>
      <w:sz w:val="18"/>
      <w:szCs w:val="18"/>
    </w:rPr>
  </w:style>
  <w:style w:type="paragraph" w:customStyle="1" w:styleId="40">
    <w:name w:val="xl73"/>
    <w:basedOn w:val="1"/>
    <w:qFormat/>
    <w:uiPriority w:val="0"/>
    <w:pPr>
      <w:widowControl/>
      <w:pBdr>
        <w:top w:val="single" w:color="auto" w:sz="8" w:space="0"/>
        <w:left w:val="single" w:color="auto" w:sz="4" w:space="0"/>
        <w:right w:val="single" w:color="auto" w:sz="8" w:space="0"/>
      </w:pBdr>
      <w:spacing w:before="100" w:beforeAutospacing="1" w:after="100" w:afterAutospacing="1"/>
      <w:jc w:val="center"/>
      <w:textAlignment w:val="center"/>
    </w:pPr>
    <w:rPr>
      <w:rFonts w:ascii="仿宋" w:hAnsi="仿宋" w:eastAsia="仿宋" w:cs="宋体"/>
      <w:kern w:val="0"/>
      <w:sz w:val="18"/>
      <w:szCs w:val="18"/>
    </w:rPr>
  </w:style>
  <w:style w:type="paragraph" w:customStyle="1" w:styleId="41">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18"/>
      <w:szCs w:val="18"/>
    </w:rPr>
  </w:style>
  <w:style w:type="paragraph" w:customStyle="1" w:styleId="4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18"/>
      <w:szCs w:val="18"/>
    </w:rPr>
  </w:style>
  <w:style w:type="paragraph" w:customStyle="1" w:styleId="43">
    <w:name w:val="xl76"/>
    <w:basedOn w:val="1"/>
    <w:qFormat/>
    <w:uiPriority w:val="0"/>
    <w:pPr>
      <w:widowControl/>
      <w:spacing w:before="100" w:beforeAutospacing="1" w:after="100" w:afterAutospacing="1"/>
      <w:jc w:val="left"/>
    </w:pPr>
    <w:rPr>
      <w:rFonts w:ascii="仿宋" w:hAnsi="仿宋" w:eastAsia="仿宋" w:cs="宋体"/>
      <w:kern w:val="0"/>
      <w:sz w:val="18"/>
      <w:szCs w:val="18"/>
    </w:rPr>
  </w:style>
  <w:style w:type="paragraph" w:customStyle="1" w:styleId="44">
    <w:name w:val="xl77"/>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仿宋" w:hAnsi="仿宋" w:eastAsia="仿宋" w:cs="宋体"/>
      <w:color w:val="000000"/>
      <w:kern w:val="0"/>
      <w:sz w:val="18"/>
      <w:szCs w:val="18"/>
    </w:rPr>
  </w:style>
  <w:style w:type="paragraph" w:customStyle="1" w:styleId="45">
    <w:name w:val="xl78"/>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仿宋" w:hAnsi="仿宋" w:eastAsia="仿宋" w:cs="宋体"/>
      <w:kern w:val="0"/>
      <w:sz w:val="18"/>
      <w:szCs w:val="18"/>
    </w:rPr>
  </w:style>
  <w:style w:type="paragraph" w:customStyle="1" w:styleId="46">
    <w:name w:val="xl79"/>
    <w:basedOn w:val="1"/>
    <w:qFormat/>
    <w:uiPriority w:val="0"/>
    <w:pPr>
      <w:widowControl/>
      <w:pBdr>
        <w:top w:val="single" w:color="auto" w:sz="4" w:space="0"/>
        <w:left w:val="single" w:color="auto" w:sz="8" w:space="0"/>
        <w:right w:val="single" w:color="auto" w:sz="4" w:space="0"/>
      </w:pBdr>
      <w:spacing w:before="100" w:beforeAutospacing="1" w:after="100" w:afterAutospacing="1"/>
      <w:jc w:val="center"/>
      <w:textAlignment w:val="center"/>
    </w:pPr>
    <w:rPr>
      <w:rFonts w:ascii="仿宋" w:hAnsi="仿宋" w:eastAsia="仿宋" w:cs="宋体"/>
      <w:color w:val="000000"/>
      <w:kern w:val="0"/>
      <w:sz w:val="18"/>
      <w:szCs w:val="18"/>
    </w:rPr>
  </w:style>
  <w:style w:type="paragraph" w:customStyle="1" w:styleId="47">
    <w:name w:val="xl80"/>
    <w:basedOn w:val="1"/>
    <w:qFormat/>
    <w:uiPriority w:val="0"/>
    <w:pPr>
      <w:widowControl/>
      <w:pBdr>
        <w:left w:val="single" w:color="auto" w:sz="8" w:space="0"/>
        <w:right w:val="single" w:color="auto" w:sz="4" w:space="0"/>
      </w:pBdr>
      <w:spacing w:before="100" w:beforeAutospacing="1" w:after="100" w:afterAutospacing="1"/>
      <w:jc w:val="center"/>
      <w:textAlignment w:val="center"/>
    </w:pPr>
    <w:rPr>
      <w:rFonts w:ascii="仿宋" w:hAnsi="仿宋" w:eastAsia="仿宋" w:cs="宋体"/>
      <w:color w:val="000000"/>
      <w:kern w:val="0"/>
      <w:sz w:val="18"/>
      <w:szCs w:val="18"/>
    </w:rPr>
  </w:style>
  <w:style w:type="paragraph" w:customStyle="1" w:styleId="48">
    <w:name w:val="xl81"/>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仿宋" w:hAnsi="仿宋" w:eastAsia="仿宋" w:cs="宋体"/>
      <w:color w:val="000000"/>
      <w:kern w:val="0"/>
      <w:sz w:val="18"/>
      <w:szCs w:val="18"/>
    </w:rPr>
  </w:style>
  <w:style w:type="paragraph" w:customStyle="1" w:styleId="49">
    <w:name w:val="xl8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仿宋" w:hAnsi="仿宋" w:eastAsia="仿宋" w:cs="宋体"/>
      <w:kern w:val="0"/>
      <w:sz w:val="18"/>
      <w:szCs w:val="18"/>
    </w:rPr>
  </w:style>
  <w:style w:type="paragraph" w:customStyle="1" w:styleId="50">
    <w:name w:val="xl83"/>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center"/>
      <w:textAlignment w:val="center"/>
    </w:pPr>
    <w:rPr>
      <w:rFonts w:ascii="仿宋" w:hAnsi="仿宋" w:eastAsia="仿宋" w:cs="宋体"/>
      <w:color w:val="000000"/>
      <w:kern w:val="0"/>
      <w:sz w:val="18"/>
      <w:szCs w:val="18"/>
    </w:rPr>
  </w:style>
  <w:style w:type="paragraph" w:customStyle="1" w:styleId="51">
    <w:name w:val="xl84"/>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仿宋" w:hAnsi="仿宋" w:eastAsia="仿宋" w:cs="宋体"/>
      <w:kern w:val="0"/>
      <w:sz w:val="18"/>
      <w:szCs w:val="18"/>
    </w:rPr>
  </w:style>
  <w:style w:type="paragraph" w:customStyle="1" w:styleId="52">
    <w:name w:val="xl85"/>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left"/>
    </w:pPr>
    <w:rPr>
      <w:rFonts w:ascii="仿宋" w:hAnsi="仿宋" w:eastAsia="仿宋" w:cs="宋体"/>
      <w:kern w:val="0"/>
      <w:sz w:val="18"/>
      <w:szCs w:val="18"/>
    </w:rPr>
  </w:style>
  <w:style w:type="paragraph" w:customStyle="1" w:styleId="53">
    <w:name w:val="无间隔1"/>
    <w:qFormat/>
    <w:uiPriority w:val="1"/>
    <w:pPr>
      <w:widowControl w:val="0"/>
      <w:jc w:val="both"/>
    </w:pPr>
    <w:rPr>
      <w:rFonts w:ascii="等线" w:hAnsi="等线" w:eastAsia="等线" w:cs="黑体"/>
      <w:kern w:val="2"/>
      <w:sz w:val="21"/>
      <w:szCs w:val="22"/>
      <w:lang w:val="en-US" w:eastAsia="zh-CN" w:bidi="ar-SA"/>
    </w:rPr>
  </w:style>
  <w:style w:type="paragraph" w:customStyle="1" w:styleId="54">
    <w:name w:val="Body text|211"/>
    <w:basedOn w:val="1"/>
    <w:link w:val="66"/>
    <w:qFormat/>
    <w:uiPriority w:val="0"/>
    <w:pPr>
      <w:shd w:val="clear" w:color="auto" w:fill="FFFFFF"/>
      <w:spacing w:before="700" w:after="260" w:line="190" w:lineRule="exact"/>
    </w:pPr>
    <w:rPr>
      <w:rFonts w:ascii="PMingLiU" w:hAnsi="PMingLiU" w:eastAsia="PMingLiU" w:cs="PMingLiU"/>
      <w:spacing w:val="10"/>
      <w:sz w:val="19"/>
      <w:szCs w:val="19"/>
    </w:rPr>
  </w:style>
  <w:style w:type="character" w:customStyle="1" w:styleId="55">
    <w:name w:val="批注框文本 字符"/>
    <w:basedOn w:val="23"/>
    <w:link w:val="13"/>
    <w:semiHidden/>
    <w:qFormat/>
    <w:uiPriority w:val="99"/>
    <w:rPr>
      <w:sz w:val="18"/>
      <w:szCs w:val="18"/>
    </w:rPr>
  </w:style>
  <w:style w:type="character" w:customStyle="1" w:styleId="56">
    <w:name w:val="页眉 字符"/>
    <w:basedOn w:val="23"/>
    <w:link w:val="15"/>
    <w:qFormat/>
    <w:uiPriority w:val="99"/>
    <w:rPr>
      <w:sz w:val="18"/>
      <w:szCs w:val="18"/>
    </w:rPr>
  </w:style>
  <w:style w:type="character" w:customStyle="1" w:styleId="57">
    <w:name w:val="页脚 字符"/>
    <w:basedOn w:val="23"/>
    <w:link w:val="14"/>
    <w:qFormat/>
    <w:uiPriority w:val="99"/>
    <w:rPr>
      <w:sz w:val="18"/>
      <w:szCs w:val="18"/>
    </w:rPr>
  </w:style>
  <w:style w:type="character" w:customStyle="1" w:styleId="58">
    <w:name w:val="标题 3 字符"/>
    <w:basedOn w:val="23"/>
    <w:link w:val="5"/>
    <w:qFormat/>
    <w:uiPriority w:val="9"/>
    <w:rPr>
      <w:rFonts w:ascii="宋体" w:hAnsi="宋体" w:eastAsia="宋体" w:cs="宋体"/>
      <w:b/>
      <w:bCs/>
      <w:kern w:val="0"/>
      <w:sz w:val="27"/>
      <w:szCs w:val="27"/>
    </w:rPr>
  </w:style>
  <w:style w:type="character" w:customStyle="1" w:styleId="59">
    <w:name w:val="日期 字符"/>
    <w:basedOn w:val="23"/>
    <w:link w:val="11"/>
    <w:semiHidden/>
    <w:qFormat/>
    <w:uiPriority w:val="99"/>
  </w:style>
  <w:style w:type="character" w:customStyle="1" w:styleId="60">
    <w:name w:val="批注文字 字符"/>
    <w:basedOn w:val="23"/>
    <w:link w:val="8"/>
    <w:semiHidden/>
    <w:qFormat/>
    <w:uiPriority w:val="99"/>
  </w:style>
  <w:style w:type="character" w:customStyle="1" w:styleId="61">
    <w:name w:val="批注主题 字符"/>
    <w:basedOn w:val="60"/>
    <w:link w:val="18"/>
    <w:semiHidden/>
    <w:qFormat/>
    <w:uiPriority w:val="99"/>
    <w:rPr>
      <w:b/>
      <w:bCs/>
    </w:rPr>
  </w:style>
  <w:style w:type="character" w:customStyle="1" w:styleId="62">
    <w:name w:val="正文文本缩进 字符"/>
    <w:basedOn w:val="23"/>
    <w:link w:val="9"/>
    <w:semiHidden/>
    <w:qFormat/>
    <w:uiPriority w:val="99"/>
  </w:style>
  <w:style w:type="character" w:customStyle="1" w:styleId="63">
    <w:name w:val="正文文本首行缩进 2 字符"/>
    <w:basedOn w:val="62"/>
    <w:link w:val="20"/>
    <w:qFormat/>
    <w:uiPriority w:val="99"/>
    <w:rPr>
      <w:rFonts w:ascii="Times New Roman" w:hAnsi="Times New Roman" w:eastAsia="宋体" w:cs="Times New Roman"/>
      <w:sz w:val="28"/>
      <w:szCs w:val="24"/>
    </w:rPr>
  </w:style>
  <w:style w:type="character" w:customStyle="1" w:styleId="64">
    <w:name w:val="标题 1 字符"/>
    <w:basedOn w:val="23"/>
    <w:link w:val="4"/>
    <w:qFormat/>
    <w:uiPriority w:val="9"/>
    <w:rPr>
      <w:b/>
      <w:bCs/>
      <w:kern w:val="44"/>
      <w:sz w:val="44"/>
      <w:szCs w:val="44"/>
    </w:rPr>
  </w:style>
  <w:style w:type="character" w:customStyle="1" w:styleId="65">
    <w:name w:val="Body text|2 + 6.5 pt"/>
    <w:basedOn w:val="66"/>
    <w:unhideWhenUsed/>
    <w:qFormat/>
    <w:uiPriority w:val="0"/>
    <w:rPr>
      <w:rFonts w:ascii="PMingLiU" w:hAnsi="PMingLiU" w:eastAsia="PMingLiU" w:cs="PMingLiU"/>
      <w:color w:val="000000"/>
      <w:spacing w:val="0"/>
      <w:w w:val="100"/>
      <w:position w:val="0"/>
      <w:sz w:val="13"/>
      <w:szCs w:val="13"/>
      <w:u w:val="none"/>
      <w:lang w:val="en-US" w:eastAsia="en-US" w:bidi="en-US"/>
    </w:rPr>
  </w:style>
  <w:style w:type="character" w:customStyle="1" w:styleId="66">
    <w:name w:val="Body text|2_"/>
    <w:basedOn w:val="23"/>
    <w:link w:val="54"/>
    <w:qFormat/>
    <w:uiPriority w:val="0"/>
    <w:rPr>
      <w:rFonts w:ascii="PMingLiU" w:hAnsi="PMingLiU" w:eastAsia="PMingLiU" w:cs="PMingLiU"/>
      <w:spacing w:val="10"/>
      <w:sz w:val="19"/>
      <w:szCs w:val="19"/>
      <w:u w:val="none"/>
    </w:rPr>
  </w:style>
  <w:style w:type="character" w:customStyle="1" w:styleId="67">
    <w:name w:val="Body text|2 + 7 pt"/>
    <w:basedOn w:val="66"/>
    <w:unhideWhenUsed/>
    <w:qFormat/>
    <w:uiPriority w:val="0"/>
    <w:rPr>
      <w:rFonts w:ascii="PMingLiU" w:hAnsi="PMingLiU" w:eastAsia="PMingLiU" w:cs="PMingLiU"/>
      <w:color w:val="000000"/>
      <w:spacing w:val="30"/>
      <w:w w:val="100"/>
      <w:position w:val="0"/>
      <w:sz w:val="14"/>
      <w:szCs w:val="14"/>
      <w:u w:val="none"/>
      <w:lang w:val="zh-CN" w:eastAsia="zh-CN" w:bidi="zh-CN"/>
    </w:rPr>
  </w:style>
  <w:style w:type="character" w:customStyle="1" w:styleId="68">
    <w:name w:val="Body text|2 + SimSun"/>
    <w:basedOn w:val="66"/>
    <w:unhideWhenUsed/>
    <w:qFormat/>
    <w:uiPriority w:val="0"/>
    <w:rPr>
      <w:rFonts w:ascii="宋体" w:hAnsi="宋体" w:eastAsia="宋体" w:cs="宋体"/>
      <w:color w:val="000000"/>
      <w:spacing w:val="0"/>
      <w:w w:val="120"/>
      <w:position w:val="0"/>
      <w:sz w:val="21"/>
      <w:szCs w:val="21"/>
      <w:u w:val="none"/>
      <w:lang w:val="en-US" w:eastAsia="en-US" w:bidi="en-US"/>
    </w:rPr>
  </w:style>
  <w:style w:type="table" w:customStyle="1" w:styleId="69">
    <w:name w:val="网格型1"/>
    <w:basedOn w:val="21"/>
    <w:qFormat/>
    <w:uiPriority w:val="39"/>
    <w:pPr>
      <w:widowControl w:val="0"/>
      <w:jc w:val="both"/>
    </w:pPr>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0">
    <w:name w:val="Body text|231"/>
    <w:basedOn w:val="1"/>
    <w:qFormat/>
    <w:uiPriority w:val="0"/>
    <w:pPr>
      <w:shd w:val="clear" w:color="auto" w:fill="FFFFFF"/>
      <w:spacing w:line="260" w:lineRule="exact"/>
    </w:pPr>
    <w:rPr>
      <w:rFonts w:ascii="PMingLiU" w:hAnsi="PMingLiU" w:eastAsia="PMingLiU" w:cs="PMingLiU"/>
      <w:spacing w:val="30"/>
      <w:sz w:val="26"/>
      <w:szCs w:val="26"/>
    </w:rPr>
  </w:style>
  <w:style w:type="paragraph" w:customStyle="1" w:styleId="71">
    <w:name w:val="正文缩进2字符"/>
    <w:basedOn w:val="1"/>
    <w:qFormat/>
    <w:uiPriority w:val="0"/>
    <w:pPr>
      <w:spacing w:line="360" w:lineRule="auto"/>
      <w:ind w:firstLine="200" w:firstLineChars="200"/>
    </w:pPr>
    <w:rPr>
      <w:color w:val="000000"/>
    </w:rPr>
  </w:style>
  <w:style w:type="character" w:customStyle="1" w:styleId="72">
    <w:name w:val="font11"/>
    <w:basedOn w:val="23"/>
    <w:qFormat/>
    <w:uiPriority w:val="0"/>
    <w:rPr>
      <w:rFonts w:hint="eastAsia" w:ascii="仿宋_GB2312" w:eastAsia="仿宋_GB2312" w:cs="仿宋_GB2312"/>
      <w:color w:val="000000"/>
      <w:sz w:val="21"/>
      <w:szCs w:val="21"/>
      <w:u w:val="none"/>
    </w:rPr>
  </w:style>
  <w:style w:type="paragraph" w:styleId="73">
    <w:name w:val="No Spacing"/>
    <w:qFormat/>
    <w:uiPriority w:val="99"/>
    <w:pPr>
      <w:widowControl w:val="0"/>
      <w:jc w:val="both"/>
    </w:pPr>
    <w:rPr>
      <w:rFonts w:ascii="Times New Roman" w:hAnsi="Times New Roman" w:eastAsia="宋体" w:cs="Times New Roman"/>
      <w:kern w:val="2"/>
      <w:sz w:val="24"/>
      <w:szCs w:val="24"/>
      <w:lang w:val="en-US" w:eastAsia="zh-CN" w:bidi="ar-SA"/>
    </w:rPr>
  </w:style>
  <w:style w:type="table" w:customStyle="1" w:styleId="74">
    <w:name w:val="可研表格"/>
    <w:basedOn w:val="22"/>
    <w:qFormat/>
    <w:uiPriority w:val="99"/>
    <w:pPr>
      <w:jc w:val="center"/>
    </w:pPr>
    <w:rPr>
      <w:rFonts w:eastAsia="仿宋_GB2312"/>
      <w:sz w:val="21"/>
    </w:rPr>
    <w:tblPr>
      <w:jc w:val="center"/>
    </w:tblPr>
    <w:trPr>
      <w:jc w:val="center"/>
    </w:trPr>
    <w:tcPr>
      <w:shd w:val="clear" w:color="auto" w:fill="auto"/>
      <w:vAlign w:val="center"/>
    </w:tcPr>
    <w:tblStylePr w:type="firstRow">
      <w:pPr>
        <w:wordWrap/>
        <w:spacing w:beforeLines="0" w:beforeAutospacing="0" w:afterLines="0" w:afterAutospacing="0" w:line="240" w:lineRule="auto"/>
        <w:ind w:left="0" w:leftChars="0" w:right="0" w:rightChars="0" w:firstLine="0" w:firstLineChars="0"/>
        <w:jc w:val="center"/>
        <w:outlineLvl w:val="9"/>
      </w:pPr>
      <w:rPr>
        <w:rFonts w:eastAsia="仿宋_GB2312"/>
        <w:b/>
        <w:sz w:val="21"/>
      </w:rPr>
      <w:tcPr>
        <w:shd w:val="clear" w:color="auto" w:fill="F1F1F1" w:themeFill="background1" w:themeFillShade="F2"/>
      </w:tcPr>
    </w:tblStylePr>
    <w:tblStylePr w:type="lastRow">
      <w:rPr>
        <w:b w:val="0"/>
      </w:rPr>
    </w:tblStylePr>
    <w:tblStylePr w:type="firstCol">
      <w:pPr>
        <w:jc w:val="center"/>
      </w:pPr>
      <w:rPr>
        <w:rFonts w:eastAsia="仿宋_GB2312"/>
        <w:b/>
        <w:sz w:val="21"/>
      </w:rPr>
      <w:tcPr>
        <w:shd w:val="clear" w:color="auto" w:fill="F1F1F1" w:themeFill="background1" w:themeFillShade="F2"/>
      </w:tcPr>
    </w:tblStylePr>
  </w:style>
  <w:style w:type="character" w:customStyle="1" w:styleId="75">
    <w:name w:val="font21"/>
    <w:basedOn w:val="23"/>
    <w:qFormat/>
    <w:uiPriority w:val="0"/>
    <w:rPr>
      <w:rFonts w:hint="eastAsia" w:ascii="宋体" w:hAnsi="宋体" w:eastAsia="宋体" w:cs="宋体"/>
      <w:color w:val="000000"/>
      <w:sz w:val="22"/>
      <w:szCs w:val="22"/>
      <w:u w:val="none"/>
      <w:vertAlign w:val="subscript"/>
    </w:rPr>
  </w:style>
  <w:style w:type="character" w:customStyle="1" w:styleId="76">
    <w:name w:val="font01"/>
    <w:basedOn w:val="23"/>
    <w:qFormat/>
    <w:uiPriority w:val="0"/>
    <w:rPr>
      <w:rFonts w:hint="eastAsia" w:ascii="宋体" w:hAnsi="宋体" w:eastAsia="宋体" w:cs="宋体"/>
      <w:color w:val="000000"/>
      <w:sz w:val="22"/>
      <w:szCs w:val="22"/>
      <w:u w:val="none"/>
    </w:rPr>
  </w:style>
  <w:style w:type="paragraph" w:customStyle="1" w:styleId="77">
    <w:name w:val="Body text|1"/>
    <w:basedOn w:val="1"/>
    <w:qFormat/>
    <w:uiPriority w:val="0"/>
    <w:pPr>
      <w:widowControl w:val="0"/>
      <w:shd w:val="clear" w:color="auto" w:fill="auto"/>
      <w:spacing w:line="432" w:lineRule="auto"/>
      <w:ind w:firstLine="400"/>
    </w:pPr>
    <w:rPr>
      <w:rFonts w:ascii="宋体" w:hAnsi="宋体" w:eastAsia="宋体" w:cs="宋体"/>
      <w:sz w:val="28"/>
      <w:szCs w:val="28"/>
      <w:u w:val="none"/>
      <w:shd w:val="clear" w:color="auto" w:fill="auto"/>
      <w:lang w:val="zh-TW" w:eastAsia="zh-TW" w:bidi="zh-TW"/>
    </w:rPr>
  </w:style>
  <w:style w:type="paragraph" w:customStyle="1" w:styleId="78">
    <w:name w:val="Header or footer|2"/>
    <w:basedOn w:val="1"/>
    <w:qFormat/>
    <w:uiPriority w:val="0"/>
    <w:pPr>
      <w:widowControl w:val="0"/>
      <w:shd w:val="clear" w:color="auto" w:fill="auto"/>
    </w:pPr>
    <w:rPr>
      <w:sz w:val="20"/>
      <w:szCs w:val="20"/>
      <w:u w:val="none"/>
      <w:shd w:val="clear" w:color="auto" w:fill="auto"/>
      <w:lang w:val="zh-TW" w:eastAsia="zh-TW" w:bidi="zh-TW"/>
    </w:rPr>
  </w:style>
  <w:style w:type="paragraph" w:customStyle="1" w:styleId="79">
    <w:name w:val="样式 样式 样式 四号 左侧:  1.53 厘米 + 首行缩进:  2 字符 + 居中 左侧:  2 字符 首行缩进:  2..."/>
    <w:basedOn w:val="80"/>
    <w:qFormat/>
    <w:uiPriority w:val="0"/>
    <w:pPr>
      <w:ind w:firstLine="0" w:firstLineChars="0"/>
      <w:jc w:val="center"/>
    </w:pPr>
  </w:style>
  <w:style w:type="paragraph" w:customStyle="1" w:styleId="80">
    <w:name w:val="样式 样式 四号 左侧:  1.53 厘米 + 首行缩进:  2 字符"/>
    <w:basedOn w:val="81"/>
    <w:unhideWhenUsed/>
    <w:qFormat/>
    <w:uiPriority w:val="0"/>
    <w:pPr>
      <w:ind w:left="200" w:leftChars="200"/>
    </w:pPr>
    <w:rPr>
      <w:rFonts w:hint="default"/>
      <w:sz w:val="28"/>
    </w:rPr>
  </w:style>
  <w:style w:type="paragraph" w:customStyle="1" w:styleId="81">
    <w:name w:val="样式 四号 左侧:  1.53 厘米"/>
    <w:basedOn w:val="1"/>
    <w:qFormat/>
    <w:uiPriority w:val="0"/>
    <w:pPr>
      <w:adjustRightInd w:val="0"/>
    </w:pPr>
    <w:rPr>
      <w:w w:val="90"/>
      <w:sz w:val="28"/>
      <w:szCs w:val="28"/>
    </w:rPr>
  </w:style>
  <w:style w:type="paragraph" w:customStyle="1" w:styleId="82">
    <w:name w:val="图表"/>
    <w:basedOn w:val="81"/>
    <w:qFormat/>
    <w:uiPriority w:val="0"/>
    <w:pPr>
      <w:ind w:left="200" w:leftChars="200" w:firstLine="0" w:firstLineChars="0"/>
    </w:pPr>
    <w:rPr>
      <w:sz w:val="24"/>
      <w:szCs w:val="20"/>
    </w:rPr>
  </w:style>
  <w:style w:type="character" w:customStyle="1" w:styleId="83">
    <w:name w:val="font41"/>
    <w:basedOn w:val="23"/>
    <w:qFormat/>
    <w:uiPriority w:val="0"/>
    <w:rPr>
      <w:rFonts w:hint="eastAsia" w:ascii="宋体" w:hAnsi="宋体" w:eastAsia="宋体" w:cs="宋体"/>
      <w:color w:val="000000"/>
      <w:sz w:val="22"/>
      <w:szCs w:val="22"/>
      <w:u w:val="none"/>
    </w:rPr>
  </w:style>
  <w:style w:type="character" w:customStyle="1" w:styleId="84">
    <w:name w:val="font31"/>
    <w:basedOn w:val="23"/>
    <w:qFormat/>
    <w:uiPriority w:val="0"/>
    <w:rPr>
      <w:rFonts w:hint="eastAsia" w:ascii="宋体" w:hAnsi="宋体" w:eastAsia="宋体" w:cs="宋体"/>
      <w:color w:val="000000"/>
      <w:sz w:val="22"/>
      <w:szCs w:val="22"/>
      <w:u w:val="single"/>
    </w:rPr>
  </w:style>
  <w:style w:type="paragraph" w:customStyle="1" w:styleId="85">
    <w:name w:val="Table Paragraph"/>
    <w:basedOn w:val="1"/>
    <w:qFormat/>
    <w:uiPriority w:val="1"/>
    <w:rPr>
      <w:rFonts w:ascii="宋体" w:hAnsi="宋体" w:eastAsia="宋体" w:cs="宋体"/>
      <w:lang w:val="zh-CN" w:eastAsia="zh-CN" w:bidi="zh-CN"/>
    </w:rPr>
  </w:style>
  <w:style w:type="table" w:customStyle="1" w:styleId="8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C1DA52-E7C2-493E-A109-EF68C28ABAEC}">
  <ds:schemaRefs/>
</ds:datastoreItem>
</file>

<file path=docProps/app.xml><?xml version="1.0" encoding="utf-8"?>
<Properties xmlns="http://schemas.openxmlformats.org/officeDocument/2006/extended-properties" xmlns:vt="http://schemas.openxmlformats.org/officeDocument/2006/docPropsVTypes">
  <Template>Normal.dotm</Template>
  <Pages>38</Pages>
  <Words>15559</Words>
  <Characters>18937</Characters>
  <Lines>109</Lines>
  <Paragraphs>30</Paragraphs>
  <TotalTime>2</TotalTime>
  <ScaleCrop>false</ScaleCrop>
  <LinksUpToDate>false</LinksUpToDate>
  <CharactersWithSpaces>19195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2019-05-08T03:22:00Z</dcterms:created>
  <dc:creator>Chen Ren</dc:creator>
  <cp:lastModifiedBy>SHEEP</cp:lastModifiedBy>
  <cp:lastPrinted>2019-05-06T03:42:00Z</cp:lastPrinted>
  <dcterms:modified xsi:type="dcterms:W3CDTF">2023-06-20T02:36:45Z</dcterms:modified>
  <dc:title>其他领域专项债券项目实施方案</dc:title>
  <cp:revision>339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934E85154B174D98A686B82ADC0B442D</vt:lpwstr>
  </property>
</Properties>
</file>